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2EF" w:rsidRDefault="006912EF" w:rsidP="006912EF">
      <w:pPr>
        <w:pStyle w:val="NormalWeb"/>
        <w:rPr>
          <w:rFonts w:ascii="Arial" w:eastAsia="Arial" w:hAnsi="Arial" w:cs="Arial"/>
          <w:color w:val="000000"/>
        </w:rPr>
      </w:pPr>
      <w:r>
        <w:rPr>
          <w:rStyle w:val="Strong"/>
          <w:rFonts w:ascii="Calibri" w:eastAsia="Arial" w:hAnsi="Calibri" w:cs="Arial"/>
          <w:bCs w:val="0"/>
          <w:i/>
          <w:iCs/>
          <w:color w:val="000000"/>
          <w:sz w:val="20"/>
          <w:szCs w:val="20"/>
        </w:rPr>
        <w:t>TI</w:t>
      </w:r>
      <w:bookmarkStart w:id="0" w:name="_GoBack"/>
      <w:bookmarkEnd w:id="0"/>
      <w:r>
        <w:rPr>
          <w:rStyle w:val="Strong"/>
          <w:rFonts w:ascii="Calibri" w:eastAsia="Arial" w:hAnsi="Calibri" w:cs="Arial"/>
          <w:bCs w:val="0"/>
          <w:i/>
          <w:iCs/>
          <w:color w:val="000000"/>
          <w:sz w:val="20"/>
          <w:szCs w:val="20"/>
        </w:rPr>
        <w:t>p 22 (February 2014)</w:t>
      </w:r>
    </w:p>
    <w:p w:rsidR="006912EF" w:rsidRDefault="006912EF" w:rsidP="006912EF">
      <w:pPr>
        <w:pStyle w:val="NormalWeb"/>
        <w:rPr>
          <w:rFonts w:ascii="Arial" w:eastAsia="Arial" w:hAnsi="Arial" w:cs="Arial"/>
          <w:color w:val="000000"/>
        </w:rPr>
      </w:pPr>
      <w:r>
        <w:rPr>
          <w:rStyle w:val="Strong"/>
          <w:rFonts w:ascii="Calibri" w:eastAsia="Arial" w:hAnsi="Calibri" w:cs="Arial"/>
          <w:i/>
          <w:color w:val="000000"/>
          <w:sz w:val="20"/>
          <w:szCs w:val="20"/>
          <w:u w:val="single"/>
        </w:rPr>
        <w:t xml:space="preserve">Thiazide-induced </w:t>
      </w:r>
      <w:proofErr w:type="spellStart"/>
      <w:r>
        <w:rPr>
          <w:rStyle w:val="Strong"/>
          <w:rFonts w:ascii="Calibri" w:eastAsia="Arial" w:hAnsi="Calibri" w:cs="Arial"/>
          <w:i/>
          <w:color w:val="000000"/>
          <w:sz w:val="20"/>
          <w:szCs w:val="20"/>
          <w:u w:val="single"/>
        </w:rPr>
        <w:t>hyponatraemia</w:t>
      </w:r>
      <w:proofErr w:type="spellEnd"/>
    </w:p>
    <w:p w:rsidR="006912EF" w:rsidRDefault="006912EF" w:rsidP="006912EF">
      <w:pPr>
        <w:pStyle w:val="NormalWeb"/>
        <w:rPr>
          <w:rFonts w:ascii="Arial" w:eastAsia="Arial" w:hAnsi="Arial" w:cs="Arial"/>
          <w:color w:val="000000"/>
        </w:rPr>
      </w:pPr>
      <w:r>
        <w:rPr>
          <w:rFonts w:eastAsia="Arial"/>
          <w:color w:val="000000"/>
          <w:sz w:val="20"/>
          <w:szCs w:val="20"/>
        </w:rPr>
        <w:t>Thiazide diuretics revolutionised the management of hypertension when they were first  introduced in about 1957. They were the first antihypertensive class which combined efficacy and tolerability. And they  were subsequently shown to reduce cardiovascular morbidity and mortality in many large outcome trials. They remain an important (and sometimes indispensible) part of the antihypertensive drug armamentarium. Even in 2014 they are the third most commonly used antihypertensive drug class in patients coming through the Waitemata Hypertension Clinic, and my private practice - after ACE-inhibitors (or ARB’s) and DHP calcium channel blockers.</w:t>
      </w:r>
    </w:p>
    <w:p w:rsidR="006912EF" w:rsidRDefault="006912EF" w:rsidP="006912EF">
      <w:pPr>
        <w:pStyle w:val="NormalWeb"/>
        <w:rPr>
          <w:rFonts w:ascii="Arial" w:eastAsia="Arial" w:hAnsi="Arial" w:cs="Arial"/>
          <w:color w:val="000000"/>
        </w:rPr>
      </w:pPr>
      <w:r>
        <w:rPr>
          <w:rFonts w:eastAsia="Arial"/>
          <w:color w:val="000000"/>
          <w:sz w:val="20"/>
          <w:szCs w:val="20"/>
        </w:rPr>
        <w:t xml:space="preserve">Most doctors are aware of the potential metabolic side-effects of thiazides including hypokalaemia, </w:t>
      </w:r>
      <w:proofErr w:type="spellStart"/>
      <w:r>
        <w:rPr>
          <w:rFonts w:eastAsia="Arial"/>
          <w:color w:val="000000"/>
          <w:sz w:val="20"/>
          <w:szCs w:val="20"/>
        </w:rPr>
        <w:t>hyponatraemia</w:t>
      </w:r>
      <w:proofErr w:type="spellEnd"/>
      <w:r>
        <w:rPr>
          <w:rFonts w:eastAsia="Arial"/>
          <w:color w:val="000000"/>
          <w:sz w:val="20"/>
          <w:szCs w:val="20"/>
        </w:rPr>
        <w:t xml:space="preserve">, </w:t>
      </w:r>
      <w:proofErr w:type="spellStart"/>
      <w:r>
        <w:rPr>
          <w:rFonts w:eastAsia="Arial"/>
          <w:color w:val="000000"/>
          <w:sz w:val="20"/>
          <w:szCs w:val="20"/>
        </w:rPr>
        <w:t>hyperuricaemia</w:t>
      </w:r>
      <w:proofErr w:type="spellEnd"/>
      <w:r>
        <w:rPr>
          <w:rFonts w:eastAsia="Arial"/>
          <w:color w:val="000000"/>
          <w:sz w:val="20"/>
          <w:szCs w:val="20"/>
        </w:rPr>
        <w:t xml:space="preserve">, and impaired glucose tolerance. Hypokalaemia is the commonest. It is generally not an indication for drug </w:t>
      </w:r>
      <w:proofErr w:type="spellStart"/>
      <w:r>
        <w:rPr>
          <w:rFonts w:eastAsia="Arial"/>
          <w:color w:val="000000"/>
          <w:sz w:val="20"/>
          <w:szCs w:val="20"/>
        </w:rPr>
        <w:t>withdrawl</w:t>
      </w:r>
      <w:proofErr w:type="spellEnd"/>
      <w:r>
        <w:rPr>
          <w:rFonts w:eastAsia="Arial"/>
          <w:color w:val="000000"/>
          <w:sz w:val="20"/>
          <w:szCs w:val="20"/>
        </w:rPr>
        <w:t xml:space="preserve">,  and is usually manageable with potassium supplementation or by combining the thiazide with a potassium sparing drug. The most serious (an even potentially life-threatening) side-effect is </w:t>
      </w:r>
      <w:proofErr w:type="spellStart"/>
      <w:r>
        <w:rPr>
          <w:rFonts w:eastAsia="Arial"/>
          <w:color w:val="000000"/>
          <w:sz w:val="20"/>
          <w:szCs w:val="20"/>
        </w:rPr>
        <w:t>hyponatraemia</w:t>
      </w:r>
      <w:proofErr w:type="spellEnd"/>
      <w:r>
        <w:rPr>
          <w:rFonts w:eastAsia="Arial"/>
          <w:color w:val="000000"/>
          <w:sz w:val="20"/>
          <w:szCs w:val="20"/>
        </w:rPr>
        <w:t xml:space="preserve">, and unlike hypokalaemia, unless very mild, is usually an indication for drug </w:t>
      </w:r>
      <w:proofErr w:type="spellStart"/>
      <w:r>
        <w:rPr>
          <w:rFonts w:eastAsia="Arial"/>
          <w:color w:val="000000"/>
          <w:sz w:val="20"/>
          <w:szCs w:val="20"/>
        </w:rPr>
        <w:t>withdrawl</w:t>
      </w:r>
      <w:proofErr w:type="spellEnd"/>
      <w:r>
        <w:rPr>
          <w:rFonts w:eastAsia="Arial"/>
          <w:color w:val="000000"/>
          <w:sz w:val="20"/>
          <w:szCs w:val="20"/>
        </w:rPr>
        <w:t xml:space="preserve">. One of our house-officers, Dr </w:t>
      </w:r>
      <w:proofErr w:type="spellStart"/>
      <w:r>
        <w:rPr>
          <w:rFonts w:eastAsia="Arial"/>
          <w:color w:val="000000"/>
          <w:sz w:val="20"/>
          <w:szCs w:val="20"/>
        </w:rPr>
        <w:t>Sergej</w:t>
      </w:r>
      <w:proofErr w:type="spellEnd"/>
      <w:r>
        <w:rPr>
          <w:rFonts w:eastAsia="Arial"/>
          <w:color w:val="000000"/>
          <w:sz w:val="20"/>
          <w:szCs w:val="20"/>
        </w:rPr>
        <w:t xml:space="preserve"> </w:t>
      </w:r>
      <w:proofErr w:type="spellStart"/>
      <w:r>
        <w:rPr>
          <w:rFonts w:eastAsia="Arial"/>
          <w:color w:val="000000"/>
          <w:sz w:val="20"/>
          <w:szCs w:val="20"/>
        </w:rPr>
        <w:t>Cicovic</w:t>
      </w:r>
      <w:proofErr w:type="spellEnd"/>
      <w:r>
        <w:rPr>
          <w:rFonts w:eastAsia="Arial"/>
          <w:color w:val="000000"/>
          <w:sz w:val="20"/>
          <w:szCs w:val="20"/>
        </w:rPr>
        <w:t>, did and audit of our experience of thiazide-</w:t>
      </w:r>
      <w:proofErr w:type="spellStart"/>
      <w:r>
        <w:rPr>
          <w:rFonts w:eastAsia="Arial"/>
          <w:color w:val="000000"/>
          <w:sz w:val="20"/>
          <w:szCs w:val="20"/>
        </w:rPr>
        <w:t>hyponatraemia</w:t>
      </w:r>
      <w:proofErr w:type="spellEnd"/>
      <w:r>
        <w:rPr>
          <w:rFonts w:eastAsia="Arial"/>
          <w:color w:val="000000"/>
          <w:sz w:val="20"/>
          <w:szCs w:val="20"/>
        </w:rPr>
        <w:t xml:space="preserve"> which has been published in this month’s issue of an on-line hypertension journal</w:t>
      </w:r>
      <w:r>
        <w:rPr>
          <w:rStyle w:val="Strong"/>
          <w:rFonts w:eastAsia="Arial"/>
          <w:bCs w:val="0"/>
          <w:color w:val="000000"/>
          <w:sz w:val="20"/>
          <w:szCs w:val="20"/>
          <w:vertAlign w:val="superscript"/>
        </w:rPr>
        <w:t>1</w:t>
      </w:r>
      <w:r>
        <w:rPr>
          <w:rFonts w:eastAsia="Arial"/>
          <w:color w:val="000000"/>
          <w:sz w:val="20"/>
          <w:szCs w:val="20"/>
        </w:rPr>
        <w:t>.</w:t>
      </w:r>
    </w:p>
    <w:p w:rsidR="006912EF" w:rsidRDefault="006912EF" w:rsidP="006912EF">
      <w:pPr>
        <w:pStyle w:val="NormalWeb"/>
        <w:rPr>
          <w:rFonts w:ascii="Arial" w:eastAsia="Arial" w:hAnsi="Arial" w:cs="Arial"/>
          <w:color w:val="000000"/>
        </w:rPr>
      </w:pPr>
      <w:r>
        <w:rPr>
          <w:rFonts w:eastAsia="Arial"/>
          <w:color w:val="000000"/>
          <w:sz w:val="20"/>
          <w:szCs w:val="20"/>
        </w:rPr>
        <w:t xml:space="preserve">What he showed was that at least 10% of patients coming through our clinic were thiazide intolerant specifically due to </w:t>
      </w:r>
      <w:proofErr w:type="spellStart"/>
      <w:r>
        <w:rPr>
          <w:rFonts w:eastAsia="Arial"/>
          <w:color w:val="000000"/>
          <w:sz w:val="20"/>
          <w:szCs w:val="20"/>
        </w:rPr>
        <w:t>hyponatraemia</w:t>
      </w:r>
      <w:proofErr w:type="spellEnd"/>
      <w:r>
        <w:rPr>
          <w:rFonts w:eastAsia="Arial"/>
          <w:color w:val="000000"/>
          <w:sz w:val="20"/>
          <w:szCs w:val="20"/>
        </w:rPr>
        <w:t xml:space="preserve">. And importantly (as has been reported elsewhere) risk factors are female sex, older age, low BMI, and coexisting treatment with ACE-inhibitors or ARB’s. In other words, the typical patient who develops </w:t>
      </w:r>
      <w:proofErr w:type="spellStart"/>
      <w:r>
        <w:rPr>
          <w:rFonts w:eastAsia="Arial"/>
          <w:color w:val="000000"/>
          <w:sz w:val="20"/>
          <w:szCs w:val="20"/>
        </w:rPr>
        <w:t>hyponatraemia</w:t>
      </w:r>
      <w:proofErr w:type="spellEnd"/>
      <w:r>
        <w:rPr>
          <w:rFonts w:eastAsia="Arial"/>
          <w:color w:val="000000"/>
          <w:sz w:val="20"/>
          <w:szCs w:val="20"/>
        </w:rPr>
        <w:t xml:space="preserve"> is a female, over 70, with low body weight. This does not mean that thiazides  should be avoided in this group, but make sure you start at low doses (</w:t>
      </w:r>
      <w:proofErr w:type="spellStart"/>
      <w:r>
        <w:rPr>
          <w:rFonts w:eastAsia="Arial"/>
          <w:color w:val="000000"/>
          <w:sz w:val="20"/>
          <w:szCs w:val="20"/>
        </w:rPr>
        <w:t>eg</w:t>
      </w:r>
      <w:proofErr w:type="spellEnd"/>
      <w:r>
        <w:rPr>
          <w:rFonts w:eastAsia="Arial"/>
          <w:color w:val="000000"/>
          <w:sz w:val="20"/>
          <w:szCs w:val="20"/>
        </w:rPr>
        <w:t xml:space="preserve"> </w:t>
      </w:r>
      <w:proofErr w:type="spellStart"/>
      <w:r>
        <w:rPr>
          <w:rFonts w:eastAsia="Arial"/>
          <w:color w:val="000000"/>
          <w:sz w:val="20"/>
          <w:szCs w:val="20"/>
        </w:rPr>
        <w:t>bendrofluazide</w:t>
      </w:r>
      <w:proofErr w:type="spellEnd"/>
      <w:r>
        <w:rPr>
          <w:rFonts w:eastAsia="Arial"/>
          <w:color w:val="000000"/>
          <w:sz w:val="20"/>
          <w:szCs w:val="20"/>
        </w:rPr>
        <w:t xml:space="preserve"> 12.5mg daily, hydrochlorothiazide 12.5mg daily, </w:t>
      </w:r>
      <w:proofErr w:type="spellStart"/>
      <w:r>
        <w:rPr>
          <w:rFonts w:eastAsia="Arial"/>
          <w:color w:val="000000"/>
          <w:sz w:val="20"/>
          <w:szCs w:val="20"/>
        </w:rPr>
        <w:t>indapamide</w:t>
      </w:r>
      <w:proofErr w:type="spellEnd"/>
      <w:r>
        <w:rPr>
          <w:rFonts w:eastAsia="Arial"/>
          <w:color w:val="000000"/>
          <w:sz w:val="20"/>
          <w:szCs w:val="20"/>
        </w:rPr>
        <w:t xml:space="preserve"> 1.25mg daily), and check electrolytes 1-2 week after commencement and any subsequent dose adjustment.</w:t>
      </w:r>
    </w:p>
    <w:p w:rsidR="006912EF" w:rsidRDefault="006912EF" w:rsidP="006912EF">
      <w:pPr>
        <w:pStyle w:val="NormalWeb"/>
        <w:rPr>
          <w:rFonts w:ascii="Arial" w:eastAsia="Arial" w:hAnsi="Arial" w:cs="Arial"/>
          <w:color w:val="000000"/>
        </w:rPr>
      </w:pPr>
      <w:r>
        <w:rPr>
          <w:rFonts w:eastAsia="Arial"/>
          <w:color w:val="000000"/>
          <w:sz w:val="20"/>
          <w:szCs w:val="20"/>
        </w:rPr>
        <w:t xml:space="preserve">You may know from these pages that </w:t>
      </w:r>
      <w:proofErr w:type="spellStart"/>
      <w:r>
        <w:rPr>
          <w:rFonts w:eastAsia="Arial"/>
          <w:color w:val="000000"/>
          <w:sz w:val="20"/>
          <w:szCs w:val="20"/>
        </w:rPr>
        <w:t>chlorthalidone</w:t>
      </w:r>
      <w:proofErr w:type="spellEnd"/>
      <w:r>
        <w:rPr>
          <w:rFonts w:eastAsia="Arial"/>
          <w:color w:val="000000"/>
          <w:sz w:val="20"/>
          <w:szCs w:val="20"/>
        </w:rPr>
        <w:t xml:space="preserve"> is my favourite thiazide (-like) diuretic, but even the smallest available dose is 12.5mg (1/2 of a 25mg tablet) is quite potent, and I would not start it (first-off anyway) in a slim older woman. By contrast, I know that a robust, 90kg, 50 year old male is extremely </w:t>
      </w:r>
      <w:r>
        <w:rPr>
          <w:rFonts w:eastAsia="Arial"/>
          <w:color w:val="000000"/>
          <w:sz w:val="20"/>
          <w:szCs w:val="20"/>
          <w:u w:val="single"/>
        </w:rPr>
        <w:t>unlikely</w:t>
      </w:r>
      <w:r>
        <w:rPr>
          <w:rFonts w:eastAsia="Arial"/>
          <w:color w:val="000000"/>
          <w:sz w:val="20"/>
          <w:szCs w:val="20"/>
        </w:rPr>
        <w:t xml:space="preserve"> to develop </w:t>
      </w:r>
      <w:proofErr w:type="spellStart"/>
      <w:r>
        <w:rPr>
          <w:rFonts w:eastAsia="Arial"/>
          <w:color w:val="000000"/>
          <w:sz w:val="20"/>
          <w:szCs w:val="20"/>
        </w:rPr>
        <w:t>hyponatraemia</w:t>
      </w:r>
      <w:proofErr w:type="spellEnd"/>
      <w:r>
        <w:rPr>
          <w:rFonts w:eastAsia="Arial"/>
          <w:color w:val="000000"/>
          <w:sz w:val="20"/>
          <w:szCs w:val="20"/>
        </w:rPr>
        <w:t xml:space="preserve">, and in that group I am happy to start with </w:t>
      </w:r>
      <w:proofErr w:type="spellStart"/>
      <w:r>
        <w:rPr>
          <w:rFonts w:eastAsia="Arial"/>
          <w:color w:val="000000"/>
          <w:sz w:val="20"/>
          <w:szCs w:val="20"/>
        </w:rPr>
        <w:t>chlorthalidone</w:t>
      </w:r>
      <w:proofErr w:type="spellEnd"/>
      <w:r>
        <w:rPr>
          <w:rFonts w:eastAsia="Arial"/>
          <w:color w:val="000000"/>
          <w:sz w:val="20"/>
          <w:szCs w:val="20"/>
        </w:rPr>
        <w:t xml:space="preserve"> 12.5 or even 25mg daily.</w:t>
      </w:r>
    </w:p>
    <w:p w:rsidR="006912EF" w:rsidRDefault="006912EF" w:rsidP="006912EF">
      <w:pPr>
        <w:pStyle w:val="NormalWeb"/>
        <w:rPr>
          <w:rFonts w:ascii="Arial" w:eastAsia="Arial" w:hAnsi="Arial" w:cs="Arial"/>
          <w:color w:val="000000"/>
        </w:rPr>
      </w:pPr>
      <w:r>
        <w:rPr>
          <w:rStyle w:val="Emphasis"/>
          <w:rFonts w:eastAsia="Arial"/>
          <w:b/>
          <w:iCs w:val="0"/>
          <w:color w:val="000000"/>
          <w:sz w:val="20"/>
          <w:szCs w:val="20"/>
        </w:rPr>
        <w:t xml:space="preserve">1 Thiazide Intolerance, a New Zealand Perspective. </w:t>
      </w:r>
      <w:proofErr w:type="spellStart"/>
      <w:r>
        <w:rPr>
          <w:rStyle w:val="Emphasis"/>
          <w:rFonts w:eastAsia="Arial"/>
          <w:b/>
          <w:iCs w:val="0"/>
          <w:color w:val="000000"/>
          <w:sz w:val="20"/>
          <w:szCs w:val="20"/>
        </w:rPr>
        <w:t>Cicovic</w:t>
      </w:r>
      <w:proofErr w:type="spellEnd"/>
      <w:r>
        <w:rPr>
          <w:rStyle w:val="Emphasis"/>
          <w:rFonts w:eastAsia="Arial"/>
          <w:b/>
          <w:iCs w:val="0"/>
          <w:color w:val="000000"/>
          <w:sz w:val="20"/>
          <w:szCs w:val="20"/>
        </w:rPr>
        <w:t xml:space="preserve"> S et al. J </w:t>
      </w:r>
      <w:proofErr w:type="spellStart"/>
      <w:r>
        <w:rPr>
          <w:rStyle w:val="Emphasis"/>
          <w:rFonts w:eastAsia="Arial"/>
          <w:b/>
          <w:iCs w:val="0"/>
          <w:color w:val="000000"/>
          <w:sz w:val="20"/>
          <w:szCs w:val="20"/>
        </w:rPr>
        <w:t>Hypertens</w:t>
      </w:r>
      <w:proofErr w:type="spellEnd"/>
      <w:r>
        <w:rPr>
          <w:rStyle w:val="Emphasis"/>
          <w:rFonts w:eastAsia="Arial"/>
          <w:b/>
          <w:iCs w:val="0"/>
          <w:color w:val="000000"/>
          <w:sz w:val="20"/>
          <w:szCs w:val="20"/>
        </w:rPr>
        <w:t xml:space="preserve">. 2014;3:1                                                                                                                                                                                                                                                                                                                                      </w:t>
      </w:r>
      <w:r>
        <w:rPr>
          <w:rStyle w:val="Emphasis"/>
          <w:rFonts w:eastAsia="Arial"/>
          <w:iCs w:val="0"/>
          <w:color w:val="000000"/>
          <w:sz w:val="20"/>
          <w:szCs w:val="20"/>
        </w:rPr>
        <w:t xml:space="preserve">(this is a free on-line journal- “Google J </w:t>
      </w:r>
      <w:proofErr w:type="spellStart"/>
      <w:r>
        <w:rPr>
          <w:rStyle w:val="Emphasis"/>
          <w:rFonts w:eastAsia="Arial"/>
          <w:iCs w:val="0"/>
          <w:color w:val="000000"/>
          <w:sz w:val="20"/>
          <w:szCs w:val="20"/>
        </w:rPr>
        <w:t>Hypertens</w:t>
      </w:r>
      <w:proofErr w:type="spellEnd"/>
      <w:r>
        <w:rPr>
          <w:rStyle w:val="Emphasis"/>
          <w:rFonts w:eastAsia="Arial"/>
          <w:iCs w:val="0"/>
          <w:color w:val="000000"/>
          <w:sz w:val="20"/>
          <w:szCs w:val="20"/>
        </w:rPr>
        <w:t xml:space="preserve"> –Open Access” – click on “readers”, </w:t>
      </w:r>
      <w:proofErr w:type="spellStart"/>
      <w:r>
        <w:rPr>
          <w:rStyle w:val="Emphasis"/>
          <w:rFonts w:eastAsia="Arial"/>
          <w:iCs w:val="0"/>
          <w:color w:val="000000"/>
          <w:sz w:val="20"/>
          <w:szCs w:val="20"/>
        </w:rPr>
        <w:t>then”current</w:t>
      </w:r>
      <w:proofErr w:type="spellEnd"/>
      <w:r>
        <w:rPr>
          <w:rStyle w:val="Emphasis"/>
          <w:rFonts w:eastAsia="Arial"/>
          <w:iCs w:val="0"/>
          <w:color w:val="000000"/>
          <w:sz w:val="20"/>
          <w:szCs w:val="20"/>
        </w:rPr>
        <w:t xml:space="preserve"> issue)</w:t>
      </w:r>
    </w:p>
    <w:p w:rsidR="006912EF" w:rsidRDefault="006912EF" w:rsidP="006912EF">
      <w:pPr>
        <w:pStyle w:val="NormalWeb"/>
        <w:rPr>
          <w:rFonts w:ascii="Arial" w:eastAsia="Arial" w:hAnsi="Arial" w:cs="Arial"/>
          <w:color w:val="000000"/>
        </w:rPr>
      </w:pPr>
      <w:r>
        <w:rPr>
          <w:rFonts w:ascii="Arial" w:eastAsia="Arial" w:hAnsi="Arial" w:cs="Arial"/>
          <w:color w:val="000000"/>
        </w:rPr>
        <w:t> </w:t>
      </w:r>
    </w:p>
    <w:p w:rsidR="006912EF" w:rsidRDefault="006912EF" w:rsidP="006912EF">
      <w:pPr>
        <w:pStyle w:val="NormalWeb"/>
        <w:rPr>
          <w:rFonts w:ascii="Verdana" w:hAnsi="Verdana"/>
          <w:color w:val="000000"/>
          <w:sz w:val="17"/>
          <w:szCs w:val="17"/>
        </w:rPr>
      </w:pPr>
      <w:r>
        <w:rPr>
          <w:rStyle w:val="Strong"/>
          <w:rFonts w:ascii="Calibri" w:hAnsi="Calibri" w:cs="Calibri"/>
          <w:color w:val="000000"/>
          <w:u w:val="single"/>
        </w:rPr>
        <w:t>F</w:t>
      </w:r>
    </w:p>
    <w:p w:rsidR="0036588B" w:rsidRDefault="0036588B"/>
    <w:sectPr w:rsidR="0036588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2EF"/>
    <w:rsid w:val="0036588B"/>
    <w:rsid w:val="006912E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912EF"/>
    <w:rPr>
      <w:i/>
      <w:iCs/>
    </w:rPr>
  </w:style>
  <w:style w:type="character" w:styleId="Strong">
    <w:name w:val="Strong"/>
    <w:basedOn w:val="DefaultParagraphFont"/>
    <w:uiPriority w:val="22"/>
    <w:qFormat/>
    <w:rsid w:val="006912EF"/>
    <w:rPr>
      <w:b/>
      <w:bCs/>
    </w:rPr>
  </w:style>
  <w:style w:type="paragraph" w:styleId="NormalWeb">
    <w:name w:val="Normal (Web)"/>
    <w:basedOn w:val="Normal"/>
    <w:uiPriority w:val="99"/>
    <w:unhideWhenUsed/>
    <w:rsid w:val="006912EF"/>
    <w:pPr>
      <w:spacing w:before="100" w:beforeAutospacing="1" w:after="100" w:afterAutospacing="1"/>
    </w:pPr>
    <w:rPr>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912EF"/>
    <w:rPr>
      <w:i/>
      <w:iCs/>
    </w:rPr>
  </w:style>
  <w:style w:type="character" w:styleId="Strong">
    <w:name w:val="Strong"/>
    <w:basedOn w:val="DefaultParagraphFont"/>
    <w:uiPriority w:val="22"/>
    <w:qFormat/>
    <w:rsid w:val="006912EF"/>
    <w:rPr>
      <w:b/>
      <w:bCs/>
    </w:rPr>
  </w:style>
  <w:style w:type="paragraph" w:styleId="NormalWeb">
    <w:name w:val="Normal (Web)"/>
    <w:basedOn w:val="Normal"/>
    <w:uiPriority w:val="99"/>
    <w:unhideWhenUsed/>
    <w:rsid w:val="006912EF"/>
    <w:pPr>
      <w:spacing w:before="100" w:beforeAutospacing="1" w:after="100" w:afterAutospacing="1"/>
    </w:pPr>
    <w:rPr>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239182">
      <w:bodyDiv w:val="1"/>
      <w:marLeft w:val="0"/>
      <w:marRight w:val="0"/>
      <w:marTop w:val="0"/>
      <w:marBottom w:val="0"/>
      <w:divBdr>
        <w:top w:val="none" w:sz="0" w:space="0" w:color="auto"/>
        <w:left w:val="none" w:sz="0" w:space="0" w:color="auto"/>
        <w:bottom w:val="none" w:sz="0" w:space="0" w:color="auto"/>
        <w:right w:val="none" w:sz="0" w:space="0" w:color="auto"/>
      </w:divBdr>
      <w:divsChild>
        <w:div w:id="342518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288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408</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Waitemata Cardiology</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Van Der Merwe</dc:creator>
  <cp:keywords/>
  <dc:description/>
  <cp:lastModifiedBy>Walter Van Der Merwe</cp:lastModifiedBy>
  <cp:revision>1</cp:revision>
  <dcterms:created xsi:type="dcterms:W3CDTF">2014-08-25T22:09:00Z</dcterms:created>
  <dcterms:modified xsi:type="dcterms:W3CDTF">2014-08-25T22:11:00Z</dcterms:modified>
</cp:coreProperties>
</file>