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0DC" w:rsidRPr="00A55B38" w:rsidRDefault="006120DC" w:rsidP="006120DC">
      <w:pPr>
        <w:pStyle w:val="NormalWeb"/>
        <w:rPr>
          <w:rFonts w:asciiTheme="minorHAnsi" w:hAnsiTheme="minorHAnsi" w:cs="Arial"/>
          <w:i/>
          <w:color w:val="000000"/>
          <w:sz w:val="20"/>
          <w:szCs w:val="20"/>
        </w:rPr>
      </w:pPr>
      <w:r w:rsidRPr="00A55B38">
        <w:rPr>
          <w:rStyle w:val="Strong"/>
          <w:rFonts w:ascii="Calibri" w:hAnsi="Calibri" w:cs="Arial"/>
          <w:bCs w:val="0"/>
          <w:i/>
          <w:color w:val="000000"/>
          <w:sz w:val="20"/>
          <w:szCs w:val="20"/>
        </w:rPr>
        <w:t>Tip 1</w:t>
      </w:r>
      <w:r w:rsidR="00F45E83">
        <w:rPr>
          <w:rStyle w:val="Strong"/>
          <w:rFonts w:ascii="Calibri" w:hAnsi="Calibri" w:cs="Arial"/>
          <w:bCs w:val="0"/>
          <w:i/>
          <w:color w:val="000000"/>
          <w:sz w:val="20"/>
          <w:szCs w:val="20"/>
        </w:rPr>
        <w:t>8</w:t>
      </w:r>
      <w:r w:rsidRPr="00A55B38">
        <w:rPr>
          <w:rStyle w:val="Strong"/>
          <w:rFonts w:ascii="Calibri" w:hAnsi="Calibri" w:cs="Arial"/>
          <w:bCs w:val="0"/>
          <w:i/>
          <w:color w:val="000000"/>
          <w:sz w:val="20"/>
          <w:szCs w:val="20"/>
        </w:rPr>
        <w:t xml:space="preserve"> (</w:t>
      </w:r>
      <w:r w:rsidR="00F45E83">
        <w:rPr>
          <w:rStyle w:val="Strong"/>
          <w:rFonts w:ascii="Calibri" w:hAnsi="Calibri" w:cs="Arial"/>
          <w:bCs w:val="0"/>
          <w:i/>
          <w:color w:val="000000"/>
          <w:sz w:val="20"/>
          <w:szCs w:val="20"/>
        </w:rPr>
        <w:t>January</w:t>
      </w:r>
      <w:r w:rsidRPr="00A55B38">
        <w:rPr>
          <w:rStyle w:val="Strong"/>
          <w:rFonts w:ascii="Calibri" w:hAnsi="Calibri" w:cs="Arial"/>
          <w:bCs w:val="0"/>
          <w:i/>
          <w:color w:val="000000"/>
          <w:sz w:val="20"/>
          <w:szCs w:val="20"/>
        </w:rPr>
        <w:t xml:space="preserve"> 201</w:t>
      </w:r>
      <w:r w:rsidR="00F45E83">
        <w:rPr>
          <w:rStyle w:val="Strong"/>
          <w:rFonts w:ascii="Calibri" w:hAnsi="Calibri" w:cs="Arial"/>
          <w:bCs w:val="0"/>
          <w:i/>
          <w:color w:val="000000"/>
          <w:sz w:val="20"/>
          <w:szCs w:val="20"/>
        </w:rPr>
        <w:t>2</w:t>
      </w:r>
      <w:r w:rsidRPr="00A55B38">
        <w:rPr>
          <w:rStyle w:val="Strong"/>
          <w:rFonts w:ascii="Calibri" w:hAnsi="Calibri" w:cs="Arial"/>
          <w:bCs w:val="0"/>
          <w:i/>
          <w:color w:val="000000"/>
          <w:sz w:val="20"/>
          <w:szCs w:val="20"/>
        </w:rPr>
        <w:t>)</w:t>
      </w:r>
    </w:p>
    <w:p w:rsidR="001B6CAF" w:rsidRPr="00A55B38" w:rsidRDefault="00F45E83" w:rsidP="004D0FCE">
      <w:pPr>
        <w:pStyle w:val="NormalWeb"/>
        <w:rPr>
          <w:rStyle w:val="Strong"/>
          <w:rFonts w:ascii="Calibri" w:hAnsi="Calibri" w:cs="Arial"/>
          <w:i/>
          <w:color w:val="000000"/>
          <w:sz w:val="20"/>
          <w:szCs w:val="20"/>
          <w:u w:val="single"/>
        </w:rPr>
      </w:pPr>
      <w:r>
        <w:rPr>
          <w:rStyle w:val="Strong"/>
          <w:rFonts w:ascii="Calibri" w:hAnsi="Calibri" w:cs="Arial"/>
          <w:i/>
          <w:color w:val="000000"/>
          <w:sz w:val="20"/>
          <w:szCs w:val="20"/>
          <w:u w:val="single"/>
        </w:rPr>
        <w:t xml:space="preserve">Effective use of Beta </w:t>
      </w:r>
      <w:r w:rsidR="00D9320F">
        <w:rPr>
          <w:rStyle w:val="Strong"/>
          <w:rFonts w:ascii="Calibri" w:hAnsi="Calibri" w:cs="Arial"/>
          <w:i/>
          <w:color w:val="000000"/>
          <w:sz w:val="20"/>
          <w:szCs w:val="20"/>
          <w:u w:val="single"/>
        </w:rPr>
        <w:t>and Alpha Blockers</w:t>
      </w:r>
    </w:p>
    <w:p w:rsidR="00603292" w:rsidRDefault="00F45E83" w:rsidP="00013ADF">
      <w:pPr>
        <w:rPr>
          <w:sz w:val="20"/>
          <w:szCs w:val="20"/>
        </w:rPr>
      </w:pPr>
      <w:r>
        <w:rPr>
          <w:sz w:val="20"/>
          <w:szCs w:val="20"/>
        </w:rPr>
        <w:t xml:space="preserve">Although beta blockers are no longer first or second-line agents for management of hypertension, they are still indicated and appropriately prescribed for patients with compelling indications (post MI, </w:t>
      </w:r>
      <w:proofErr w:type="spellStart"/>
      <w:r>
        <w:rPr>
          <w:sz w:val="20"/>
          <w:szCs w:val="20"/>
        </w:rPr>
        <w:t>atrial</w:t>
      </w:r>
      <w:proofErr w:type="spellEnd"/>
      <w:r>
        <w:rPr>
          <w:sz w:val="20"/>
          <w:szCs w:val="20"/>
        </w:rPr>
        <w:t xml:space="preserve"> fibrillation, heart failure etc). In the absence of compelling indications they are also still commonly used as add-on therapy as part of multi-drug treatment of resistant hypertension.</w:t>
      </w:r>
    </w:p>
    <w:p w:rsidR="00F45E83" w:rsidRDefault="00F45E83" w:rsidP="00013ADF">
      <w:pPr>
        <w:rPr>
          <w:sz w:val="20"/>
          <w:szCs w:val="20"/>
        </w:rPr>
      </w:pPr>
      <w:r>
        <w:rPr>
          <w:sz w:val="20"/>
          <w:szCs w:val="20"/>
        </w:rPr>
        <w:t xml:space="preserve">The most commonly prescribed beta blocker in New Zealand is </w:t>
      </w:r>
      <w:proofErr w:type="spellStart"/>
      <w:r>
        <w:rPr>
          <w:sz w:val="20"/>
          <w:szCs w:val="20"/>
        </w:rPr>
        <w:t>metoprolol</w:t>
      </w:r>
      <w:proofErr w:type="spellEnd"/>
      <w:r>
        <w:rPr>
          <w:sz w:val="20"/>
          <w:szCs w:val="20"/>
        </w:rPr>
        <w:t>.</w:t>
      </w:r>
    </w:p>
    <w:p w:rsidR="00F45E83" w:rsidRPr="000A5D72" w:rsidRDefault="000A5D72" w:rsidP="00013ADF">
      <w:pPr>
        <w:rPr>
          <w:sz w:val="20"/>
          <w:szCs w:val="20"/>
          <w:u w:val="single"/>
        </w:rPr>
      </w:pPr>
      <w:r w:rsidRPr="000A5D72">
        <w:rPr>
          <w:sz w:val="20"/>
          <w:szCs w:val="20"/>
          <w:u w:val="single"/>
        </w:rPr>
        <w:t>Clinical case</w:t>
      </w:r>
      <w:r w:rsidR="00F45E83" w:rsidRPr="000A5D72">
        <w:rPr>
          <w:sz w:val="20"/>
          <w:szCs w:val="20"/>
          <w:u w:val="single"/>
        </w:rPr>
        <w:t>:</w:t>
      </w:r>
    </w:p>
    <w:p w:rsidR="00A02E2C" w:rsidRDefault="000A5D72" w:rsidP="00013ADF">
      <w:pPr>
        <w:rPr>
          <w:sz w:val="20"/>
          <w:szCs w:val="20"/>
        </w:rPr>
      </w:pPr>
      <w:r>
        <w:rPr>
          <w:sz w:val="20"/>
          <w:szCs w:val="20"/>
        </w:rPr>
        <w:t xml:space="preserve">You have a 50 year old European male with hypertension. He has a BMI of 30, abdominal obesity, impaired </w:t>
      </w:r>
      <w:r w:rsidR="00DD1F23">
        <w:rPr>
          <w:sz w:val="20"/>
          <w:szCs w:val="20"/>
        </w:rPr>
        <w:t xml:space="preserve">fasting </w:t>
      </w:r>
      <w:r>
        <w:rPr>
          <w:sz w:val="20"/>
          <w:szCs w:val="20"/>
        </w:rPr>
        <w:t xml:space="preserve">glucose, and treated </w:t>
      </w:r>
      <w:proofErr w:type="spellStart"/>
      <w:r>
        <w:rPr>
          <w:sz w:val="20"/>
          <w:szCs w:val="20"/>
        </w:rPr>
        <w:t>dyslipidaemia</w:t>
      </w:r>
      <w:proofErr w:type="spellEnd"/>
      <w:r>
        <w:rPr>
          <w:sz w:val="20"/>
          <w:szCs w:val="20"/>
        </w:rPr>
        <w:t xml:space="preserve">. Secondary causes of hypertension including Conn’s syndrome and </w:t>
      </w:r>
      <w:proofErr w:type="spellStart"/>
      <w:r>
        <w:rPr>
          <w:sz w:val="20"/>
          <w:szCs w:val="20"/>
        </w:rPr>
        <w:t>phaeochromocytoma</w:t>
      </w:r>
      <w:proofErr w:type="spellEnd"/>
      <w:r>
        <w:rPr>
          <w:sz w:val="20"/>
          <w:szCs w:val="20"/>
        </w:rPr>
        <w:t xml:space="preserve"> have been excluded on biochemical testing. CT renal angiogram is negative for renal artery </w:t>
      </w:r>
      <w:proofErr w:type="spellStart"/>
      <w:r>
        <w:rPr>
          <w:sz w:val="20"/>
          <w:szCs w:val="20"/>
        </w:rPr>
        <w:t>stenosis</w:t>
      </w:r>
      <w:proofErr w:type="spellEnd"/>
      <w:r>
        <w:rPr>
          <w:sz w:val="20"/>
          <w:szCs w:val="20"/>
        </w:rPr>
        <w:t>, and the Berlin and Epworth questionnaires in</w:t>
      </w:r>
      <w:r w:rsidR="00455883">
        <w:rPr>
          <w:sz w:val="20"/>
          <w:szCs w:val="20"/>
        </w:rPr>
        <w:t>d</w:t>
      </w:r>
      <w:r>
        <w:rPr>
          <w:sz w:val="20"/>
          <w:szCs w:val="20"/>
        </w:rPr>
        <w:t xml:space="preserve">icate a low probability of </w:t>
      </w:r>
      <w:r w:rsidR="00455883">
        <w:rPr>
          <w:sz w:val="20"/>
          <w:szCs w:val="20"/>
        </w:rPr>
        <w:t>o</w:t>
      </w:r>
      <w:r>
        <w:rPr>
          <w:sz w:val="20"/>
          <w:szCs w:val="20"/>
        </w:rPr>
        <w:t xml:space="preserve">bstructive </w:t>
      </w:r>
      <w:r w:rsidR="00455883">
        <w:rPr>
          <w:sz w:val="20"/>
          <w:szCs w:val="20"/>
        </w:rPr>
        <w:t>s</w:t>
      </w:r>
      <w:r>
        <w:rPr>
          <w:sz w:val="20"/>
          <w:szCs w:val="20"/>
        </w:rPr>
        <w:t xml:space="preserve">leep </w:t>
      </w:r>
      <w:r w:rsidR="00455883">
        <w:rPr>
          <w:sz w:val="20"/>
          <w:szCs w:val="20"/>
        </w:rPr>
        <w:t>a</w:t>
      </w:r>
      <w:r>
        <w:rPr>
          <w:sz w:val="20"/>
          <w:szCs w:val="20"/>
        </w:rPr>
        <w:t>pnoea.</w:t>
      </w:r>
      <w:r w:rsidR="00DD1F23">
        <w:rPr>
          <w:sz w:val="20"/>
          <w:szCs w:val="20"/>
        </w:rPr>
        <w:t xml:space="preserve"> His medication compliance appears to be excellent.</w:t>
      </w:r>
    </w:p>
    <w:p w:rsidR="000A5D72" w:rsidRDefault="000A5D72" w:rsidP="00013ADF">
      <w:pPr>
        <w:rPr>
          <w:sz w:val="20"/>
          <w:szCs w:val="20"/>
        </w:rPr>
      </w:pPr>
      <w:r>
        <w:rPr>
          <w:sz w:val="20"/>
          <w:szCs w:val="20"/>
        </w:rPr>
        <w:t>His current medications are:</w:t>
      </w:r>
    </w:p>
    <w:p w:rsidR="000A5D72" w:rsidRDefault="000A5D72" w:rsidP="00013ADF">
      <w:pPr>
        <w:rPr>
          <w:sz w:val="20"/>
          <w:szCs w:val="20"/>
        </w:rPr>
      </w:pPr>
      <w:proofErr w:type="spellStart"/>
      <w:r>
        <w:rPr>
          <w:sz w:val="20"/>
          <w:szCs w:val="20"/>
        </w:rPr>
        <w:t>Quinapril</w:t>
      </w:r>
      <w:proofErr w:type="spellEnd"/>
      <w:r>
        <w:rPr>
          <w:sz w:val="20"/>
          <w:szCs w:val="20"/>
        </w:rPr>
        <w:t xml:space="preserve"> </w:t>
      </w:r>
      <w:r w:rsidR="00455883">
        <w:rPr>
          <w:sz w:val="20"/>
          <w:szCs w:val="20"/>
        </w:rPr>
        <w:t>3</w:t>
      </w:r>
      <w:r>
        <w:rPr>
          <w:sz w:val="20"/>
          <w:szCs w:val="20"/>
        </w:rPr>
        <w:t xml:space="preserve">0mg BD, </w:t>
      </w:r>
      <w:proofErr w:type="spellStart"/>
      <w:r>
        <w:rPr>
          <w:sz w:val="20"/>
          <w:szCs w:val="20"/>
        </w:rPr>
        <w:t>chlorthalidone</w:t>
      </w:r>
      <w:proofErr w:type="spellEnd"/>
      <w:r>
        <w:rPr>
          <w:sz w:val="20"/>
          <w:szCs w:val="20"/>
        </w:rPr>
        <w:t xml:space="preserve"> 25mg daily, </w:t>
      </w:r>
      <w:proofErr w:type="spellStart"/>
      <w:r>
        <w:rPr>
          <w:sz w:val="20"/>
          <w:szCs w:val="20"/>
        </w:rPr>
        <w:t>spironolactone</w:t>
      </w:r>
      <w:proofErr w:type="spellEnd"/>
      <w:r>
        <w:rPr>
          <w:sz w:val="20"/>
          <w:szCs w:val="20"/>
        </w:rPr>
        <w:t xml:space="preserve"> 25mg daily, </w:t>
      </w:r>
      <w:proofErr w:type="spellStart"/>
      <w:r>
        <w:rPr>
          <w:sz w:val="20"/>
          <w:szCs w:val="20"/>
        </w:rPr>
        <w:t>amlodipine</w:t>
      </w:r>
      <w:proofErr w:type="spellEnd"/>
      <w:r>
        <w:rPr>
          <w:sz w:val="20"/>
          <w:szCs w:val="20"/>
        </w:rPr>
        <w:t xml:space="preserve"> 10mg daily and </w:t>
      </w:r>
      <w:proofErr w:type="spellStart"/>
      <w:r>
        <w:rPr>
          <w:sz w:val="20"/>
          <w:szCs w:val="20"/>
        </w:rPr>
        <w:t>metoprolol</w:t>
      </w:r>
      <w:proofErr w:type="spellEnd"/>
      <w:r>
        <w:rPr>
          <w:sz w:val="20"/>
          <w:szCs w:val="20"/>
        </w:rPr>
        <w:t xml:space="preserve"> CR 190mg daily.</w:t>
      </w:r>
    </w:p>
    <w:p w:rsidR="000A5D72" w:rsidRDefault="000A5D72" w:rsidP="00013ADF">
      <w:pPr>
        <w:rPr>
          <w:sz w:val="20"/>
          <w:szCs w:val="20"/>
        </w:rPr>
      </w:pPr>
      <w:r>
        <w:rPr>
          <w:sz w:val="20"/>
          <w:szCs w:val="20"/>
        </w:rPr>
        <w:t>On this regimen his office and home monitored resting blood pressures average 150/90, and heart rate 86BPM</w:t>
      </w:r>
    </w:p>
    <w:p w:rsidR="000A5D72" w:rsidRDefault="000A5D72" w:rsidP="00013ADF">
      <w:pPr>
        <w:rPr>
          <w:i/>
          <w:sz w:val="20"/>
          <w:szCs w:val="20"/>
        </w:rPr>
      </w:pPr>
      <w:r w:rsidRPr="000A5D72">
        <w:rPr>
          <w:i/>
          <w:sz w:val="20"/>
          <w:szCs w:val="20"/>
        </w:rPr>
        <w:t>Where to from here?</w:t>
      </w:r>
    </w:p>
    <w:p w:rsidR="00455883" w:rsidRDefault="00455883" w:rsidP="00013ADF">
      <w:pPr>
        <w:rPr>
          <w:sz w:val="20"/>
          <w:szCs w:val="20"/>
        </w:rPr>
      </w:pPr>
      <w:r>
        <w:rPr>
          <w:sz w:val="20"/>
          <w:szCs w:val="20"/>
        </w:rPr>
        <w:t xml:space="preserve">The three main </w:t>
      </w:r>
      <w:proofErr w:type="spellStart"/>
      <w:r>
        <w:rPr>
          <w:sz w:val="20"/>
          <w:szCs w:val="20"/>
        </w:rPr>
        <w:t>pathophysiological</w:t>
      </w:r>
      <w:proofErr w:type="spellEnd"/>
      <w:r>
        <w:rPr>
          <w:sz w:val="20"/>
          <w:szCs w:val="20"/>
        </w:rPr>
        <w:t xml:space="preserve"> mechanisms driving hypertension </w:t>
      </w:r>
      <w:proofErr w:type="gramStart"/>
      <w:r>
        <w:rPr>
          <w:sz w:val="20"/>
          <w:szCs w:val="20"/>
        </w:rPr>
        <w:t>are  (</w:t>
      </w:r>
      <w:proofErr w:type="gramEnd"/>
      <w:r>
        <w:rPr>
          <w:sz w:val="20"/>
          <w:szCs w:val="20"/>
        </w:rPr>
        <w:t xml:space="preserve">1) The </w:t>
      </w:r>
      <w:proofErr w:type="spellStart"/>
      <w:r>
        <w:rPr>
          <w:sz w:val="20"/>
          <w:szCs w:val="20"/>
        </w:rPr>
        <w:t>renin-angiotensin-aldosterone</w:t>
      </w:r>
      <w:proofErr w:type="spellEnd"/>
      <w:r>
        <w:rPr>
          <w:sz w:val="20"/>
          <w:szCs w:val="20"/>
        </w:rPr>
        <w:t xml:space="preserve"> system (RAAS) , (2) sodium/volume and (3) the sympathetic nervous system (SNS). We tend to forget about the SNS, but SNS-</w:t>
      </w:r>
      <w:proofErr w:type="spellStart"/>
      <w:r>
        <w:rPr>
          <w:sz w:val="20"/>
          <w:szCs w:val="20"/>
        </w:rPr>
        <w:t>overactivity</w:t>
      </w:r>
      <w:proofErr w:type="spellEnd"/>
      <w:r>
        <w:rPr>
          <w:sz w:val="20"/>
          <w:szCs w:val="20"/>
        </w:rPr>
        <w:t xml:space="preserve"> is probably an important </w:t>
      </w:r>
      <w:proofErr w:type="gramStart"/>
      <w:r>
        <w:rPr>
          <w:sz w:val="20"/>
          <w:szCs w:val="20"/>
        </w:rPr>
        <w:t>contributor  in</w:t>
      </w:r>
      <w:proofErr w:type="gramEnd"/>
      <w:r>
        <w:rPr>
          <w:sz w:val="20"/>
          <w:szCs w:val="20"/>
        </w:rPr>
        <w:t xml:space="preserve"> many cases of difficult hypertension. I</w:t>
      </w:r>
      <w:r w:rsidR="00DD1F23">
        <w:rPr>
          <w:sz w:val="20"/>
          <w:szCs w:val="20"/>
        </w:rPr>
        <w:t xml:space="preserve">n </w:t>
      </w:r>
      <w:r>
        <w:rPr>
          <w:sz w:val="20"/>
          <w:szCs w:val="20"/>
        </w:rPr>
        <w:t>this case</w:t>
      </w:r>
      <w:r w:rsidR="00DD1F23">
        <w:rPr>
          <w:sz w:val="20"/>
          <w:szCs w:val="20"/>
        </w:rPr>
        <w:t>,</w:t>
      </w:r>
      <w:r>
        <w:rPr>
          <w:sz w:val="20"/>
          <w:szCs w:val="20"/>
        </w:rPr>
        <w:t xml:space="preserve"> the RAAS is well covered with a high dose of ACE-inhibitor </w:t>
      </w:r>
      <w:proofErr w:type="gramStart"/>
      <w:r>
        <w:rPr>
          <w:sz w:val="20"/>
          <w:szCs w:val="20"/>
        </w:rPr>
        <w:t>( and</w:t>
      </w:r>
      <w:proofErr w:type="gramEnd"/>
      <w:r>
        <w:rPr>
          <w:sz w:val="20"/>
          <w:szCs w:val="20"/>
        </w:rPr>
        <w:t xml:space="preserve"> the beta blocker should have some rennin-inhibiting effect as well), and the sodium-volume component by the high-dose </w:t>
      </w:r>
      <w:proofErr w:type="spellStart"/>
      <w:r>
        <w:rPr>
          <w:sz w:val="20"/>
          <w:szCs w:val="20"/>
        </w:rPr>
        <w:t>chlorthalidone-spironolactone</w:t>
      </w:r>
      <w:proofErr w:type="spellEnd"/>
      <w:r>
        <w:rPr>
          <w:sz w:val="20"/>
          <w:szCs w:val="20"/>
        </w:rPr>
        <w:t xml:space="preserve"> </w:t>
      </w:r>
      <w:proofErr w:type="spellStart"/>
      <w:r>
        <w:rPr>
          <w:sz w:val="20"/>
          <w:szCs w:val="20"/>
        </w:rPr>
        <w:t>combimation</w:t>
      </w:r>
      <w:proofErr w:type="spellEnd"/>
      <w:r>
        <w:rPr>
          <w:sz w:val="20"/>
          <w:szCs w:val="20"/>
        </w:rPr>
        <w:t>. His resting heart rate of 86BPM suggest</w:t>
      </w:r>
      <w:r w:rsidR="00DD1F23">
        <w:rPr>
          <w:sz w:val="20"/>
          <w:szCs w:val="20"/>
        </w:rPr>
        <w:t>s</w:t>
      </w:r>
      <w:r>
        <w:rPr>
          <w:sz w:val="20"/>
          <w:szCs w:val="20"/>
        </w:rPr>
        <w:t xml:space="preserve"> that he has untreated sympathetic </w:t>
      </w:r>
      <w:proofErr w:type="spellStart"/>
      <w:r>
        <w:rPr>
          <w:sz w:val="20"/>
          <w:szCs w:val="20"/>
        </w:rPr>
        <w:t>overactivity</w:t>
      </w:r>
      <w:proofErr w:type="spellEnd"/>
      <w:r>
        <w:rPr>
          <w:sz w:val="20"/>
          <w:szCs w:val="20"/>
        </w:rPr>
        <w:t xml:space="preserve"> (and is not adequately beta-blocked) despite being on a full dose of </w:t>
      </w:r>
      <w:proofErr w:type="spellStart"/>
      <w:r>
        <w:rPr>
          <w:sz w:val="20"/>
          <w:szCs w:val="20"/>
        </w:rPr>
        <w:t>metoprolol</w:t>
      </w:r>
      <w:proofErr w:type="spellEnd"/>
      <w:r w:rsidR="00C74200">
        <w:rPr>
          <w:sz w:val="20"/>
          <w:szCs w:val="20"/>
        </w:rPr>
        <w:t>.</w:t>
      </w:r>
    </w:p>
    <w:p w:rsidR="00C74200" w:rsidRDefault="00C74200" w:rsidP="00013ADF">
      <w:pPr>
        <w:rPr>
          <w:sz w:val="20"/>
          <w:szCs w:val="20"/>
        </w:rPr>
      </w:pPr>
      <w:r>
        <w:rPr>
          <w:sz w:val="20"/>
          <w:szCs w:val="20"/>
        </w:rPr>
        <w:t xml:space="preserve">Some individuals have poor bioavailability of </w:t>
      </w:r>
      <w:proofErr w:type="spellStart"/>
      <w:r>
        <w:rPr>
          <w:sz w:val="20"/>
          <w:szCs w:val="20"/>
        </w:rPr>
        <w:t>metoprolol</w:t>
      </w:r>
      <w:proofErr w:type="spellEnd"/>
      <w:r>
        <w:rPr>
          <w:sz w:val="20"/>
          <w:szCs w:val="20"/>
        </w:rPr>
        <w:t xml:space="preserve"> (and </w:t>
      </w:r>
      <w:proofErr w:type="spellStart"/>
      <w:r>
        <w:rPr>
          <w:sz w:val="20"/>
          <w:szCs w:val="20"/>
        </w:rPr>
        <w:t>carvedilol</w:t>
      </w:r>
      <w:proofErr w:type="spellEnd"/>
      <w:r>
        <w:rPr>
          <w:sz w:val="20"/>
          <w:szCs w:val="20"/>
        </w:rPr>
        <w:t xml:space="preserve"> and </w:t>
      </w:r>
      <w:proofErr w:type="spellStart"/>
      <w:r>
        <w:rPr>
          <w:sz w:val="20"/>
          <w:szCs w:val="20"/>
        </w:rPr>
        <w:t>labetolol</w:t>
      </w:r>
      <w:proofErr w:type="spellEnd"/>
      <w:r>
        <w:rPr>
          <w:sz w:val="20"/>
          <w:szCs w:val="20"/>
        </w:rPr>
        <w:t xml:space="preserve">) due high </w:t>
      </w:r>
      <w:proofErr w:type="spellStart"/>
      <w:r w:rsidRPr="00290D33">
        <w:rPr>
          <w:sz w:val="20"/>
          <w:szCs w:val="20"/>
        </w:rPr>
        <w:t>cytochrome</w:t>
      </w:r>
      <w:proofErr w:type="spellEnd"/>
      <w:r w:rsidRPr="00290D33">
        <w:rPr>
          <w:sz w:val="20"/>
          <w:szCs w:val="20"/>
        </w:rPr>
        <w:t xml:space="preserve"> P450–mediated first-pass hepatic metabolism</w:t>
      </w:r>
      <w:r>
        <w:rPr>
          <w:sz w:val="20"/>
          <w:szCs w:val="20"/>
        </w:rPr>
        <w:t xml:space="preserve">. </w:t>
      </w:r>
      <w:proofErr w:type="spellStart"/>
      <w:r>
        <w:rPr>
          <w:sz w:val="20"/>
          <w:szCs w:val="20"/>
        </w:rPr>
        <w:t>Atenolol</w:t>
      </w:r>
      <w:proofErr w:type="spellEnd"/>
      <w:r>
        <w:rPr>
          <w:sz w:val="20"/>
          <w:szCs w:val="20"/>
        </w:rPr>
        <w:t xml:space="preserve"> is not subject to this effect and in this </w:t>
      </w:r>
      <w:r w:rsidR="00DD1F23">
        <w:rPr>
          <w:sz w:val="20"/>
          <w:szCs w:val="20"/>
        </w:rPr>
        <w:t xml:space="preserve">case </w:t>
      </w:r>
      <w:r>
        <w:rPr>
          <w:sz w:val="20"/>
          <w:szCs w:val="20"/>
        </w:rPr>
        <w:t>a tr</w:t>
      </w:r>
      <w:r w:rsidR="00DD1F23">
        <w:rPr>
          <w:sz w:val="20"/>
          <w:szCs w:val="20"/>
        </w:rPr>
        <w:t>ial</w:t>
      </w:r>
      <w:r>
        <w:rPr>
          <w:sz w:val="20"/>
          <w:szCs w:val="20"/>
        </w:rPr>
        <w:t xml:space="preserve"> of </w:t>
      </w:r>
      <w:r w:rsidR="00DD1F23">
        <w:rPr>
          <w:sz w:val="20"/>
          <w:szCs w:val="20"/>
        </w:rPr>
        <w:t>a</w:t>
      </w:r>
      <w:r>
        <w:rPr>
          <w:sz w:val="20"/>
          <w:szCs w:val="20"/>
        </w:rPr>
        <w:t xml:space="preserve"> swap to </w:t>
      </w:r>
      <w:proofErr w:type="spellStart"/>
      <w:r>
        <w:rPr>
          <w:sz w:val="20"/>
          <w:szCs w:val="20"/>
        </w:rPr>
        <w:t>atenolol</w:t>
      </w:r>
      <w:proofErr w:type="spellEnd"/>
      <w:r>
        <w:rPr>
          <w:sz w:val="20"/>
          <w:szCs w:val="20"/>
        </w:rPr>
        <w:t xml:space="preserve"> is warranted. I would start with 25mg BD and titrate up to 50mg BD dependent on the blood pressure response, and the resting heart rate which one would want to titrate down to about 60BPM.</w:t>
      </w:r>
      <w:r w:rsidR="00DD1F23">
        <w:rPr>
          <w:sz w:val="20"/>
          <w:szCs w:val="20"/>
        </w:rPr>
        <w:t xml:space="preserve"> (Remember </w:t>
      </w:r>
      <w:proofErr w:type="spellStart"/>
      <w:r w:rsidR="00DD1F23">
        <w:rPr>
          <w:sz w:val="20"/>
          <w:szCs w:val="20"/>
        </w:rPr>
        <w:t>atenolol</w:t>
      </w:r>
      <w:proofErr w:type="spellEnd"/>
      <w:r w:rsidR="00DD1F23">
        <w:rPr>
          <w:sz w:val="20"/>
          <w:szCs w:val="20"/>
        </w:rPr>
        <w:t xml:space="preserve"> needs to be given in a BD dose, daily dosing does not provide adequate 24-hour cover).</w:t>
      </w:r>
    </w:p>
    <w:p w:rsidR="00D9320F" w:rsidRDefault="00C74200" w:rsidP="00D9320F">
      <w:pPr>
        <w:rPr>
          <w:sz w:val="20"/>
          <w:szCs w:val="20"/>
        </w:rPr>
      </w:pPr>
      <w:r>
        <w:rPr>
          <w:sz w:val="20"/>
          <w:szCs w:val="20"/>
        </w:rPr>
        <w:t>If his blood pressure is still not at target, the SNS may still be a factor</w:t>
      </w:r>
      <w:r w:rsidR="00D9320F">
        <w:rPr>
          <w:sz w:val="20"/>
          <w:szCs w:val="20"/>
        </w:rPr>
        <w:t xml:space="preserve">. </w:t>
      </w:r>
      <w:r w:rsidRPr="00290D33">
        <w:rPr>
          <w:sz w:val="20"/>
          <w:szCs w:val="20"/>
        </w:rPr>
        <w:t xml:space="preserve"> </w:t>
      </w:r>
      <w:r w:rsidR="00D9320F">
        <w:rPr>
          <w:sz w:val="20"/>
          <w:szCs w:val="20"/>
        </w:rPr>
        <w:t xml:space="preserve">SNS-mediated </w:t>
      </w:r>
      <w:r w:rsidRPr="008D1CAE">
        <w:rPr>
          <w:sz w:val="20"/>
          <w:szCs w:val="20"/>
        </w:rPr>
        <w:t xml:space="preserve">BP reactivity is driven to </w:t>
      </w:r>
      <w:proofErr w:type="gramStart"/>
      <w:r w:rsidRPr="008D1CAE">
        <w:rPr>
          <w:sz w:val="20"/>
          <w:szCs w:val="20"/>
        </w:rPr>
        <w:t>both  β</w:t>
      </w:r>
      <w:proofErr w:type="gramEnd"/>
      <w:r w:rsidRPr="008D1CAE">
        <w:rPr>
          <w:sz w:val="20"/>
          <w:szCs w:val="20"/>
        </w:rPr>
        <w:t>-receptor–mediated increase in  cardiac output and heart rate</w:t>
      </w:r>
      <w:r w:rsidR="00D9320F">
        <w:rPr>
          <w:sz w:val="20"/>
          <w:szCs w:val="20"/>
        </w:rPr>
        <w:t>,</w:t>
      </w:r>
      <w:r w:rsidRPr="008D1CAE">
        <w:rPr>
          <w:sz w:val="20"/>
          <w:szCs w:val="20"/>
        </w:rPr>
        <w:t xml:space="preserve"> and by an α-receptor–mediated increase in peripheral resistance, often with one or the other predominating. </w:t>
      </w:r>
      <w:r w:rsidR="00D9320F" w:rsidRPr="008D1CAE">
        <w:rPr>
          <w:sz w:val="20"/>
          <w:szCs w:val="20"/>
        </w:rPr>
        <w:t xml:space="preserve">The lack of effect of β-blocker </w:t>
      </w:r>
      <w:proofErr w:type="spellStart"/>
      <w:r w:rsidR="00D9320F" w:rsidRPr="008D1CAE">
        <w:rPr>
          <w:sz w:val="20"/>
          <w:szCs w:val="20"/>
        </w:rPr>
        <w:t>monotherapy</w:t>
      </w:r>
      <w:proofErr w:type="spellEnd"/>
      <w:r w:rsidR="00D9320F" w:rsidRPr="008D1CAE">
        <w:rPr>
          <w:sz w:val="20"/>
          <w:szCs w:val="20"/>
        </w:rPr>
        <w:t xml:space="preserve"> on BP reactivity to stress, although surprising, has been consistently demonstrated. </w:t>
      </w:r>
      <w:r w:rsidR="00D9320F" w:rsidRPr="00D9320F">
        <w:rPr>
          <w:sz w:val="20"/>
          <w:szCs w:val="20"/>
        </w:rPr>
        <w:t xml:space="preserve">The </w:t>
      </w:r>
      <w:proofErr w:type="spellStart"/>
      <w:r w:rsidR="00D9320F" w:rsidRPr="00D9320F">
        <w:rPr>
          <w:sz w:val="20"/>
          <w:szCs w:val="20"/>
        </w:rPr>
        <w:t>favorable</w:t>
      </w:r>
      <w:proofErr w:type="spellEnd"/>
      <w:r w:rsidR="00D9320F" w:rsidRPr="00D9320F">
        <w:rPr>
          <w:sz w:val="20"/>
          <w:szCs w:val="20"/>
        </w:rPr>
        <w:t xml:space="preserve"> effect of combined α-/β-blockade on BP reactivity contrasts with the lack of effect on reactivity </w:t>
      </w:r>
      <w:r w:rsidR="00D9320F">
        <w:rPr>
          <w:sz w:val="20"/>
          <w:szCs w:val="20"/>
        </w:rPr>
        <w:t>with beta or alpha blocker monotherapy</w:t>
      </w:r>
      <w:r w:rsidR="008A0E87" w:rsidRPr="008A0E87">
        <w:rPr>
          <w:sz w:val="20"/>
          <w:szCs w:val="20"/>
          <w:vertAlign w:val="superscript"/>
        </w:rPr>
        <w:t>1</w:t>
      </w:r>
      <w:r w:rsidR="00D9320F">
        <w:rPr>
          <w:sz w:val="20"/>
          <w:szCs w:val="20"/>
        </w:rPr>
        <w:t xml:space="preserve">. Combined </w:t>
      </w:r>
      <w:r w:rsidR="00D9320F" w:rsidRPr="00D9320F">
        <w:rPr>
          <w:sz w:val="20"/>
          <w:szCs w:val="20"/>
        </w:rPr>
        <w:t>α-/β-blockade</w:t>
      </w:r>
      <w:r w:rsidR="00D9320F">
        <w:rPr>
          <w:sz w:val="20"/>
          <w:szCs w:val="20"/>
        </w:rPr>
        <w:t xml:space="preserve"> may be achieved with </w:t>
      </w:r>
      <w:proofErr w:type="spellStart"/>
      <w:r w:rsidR="00D9320F">
        <w:rPr>
          <w:sz w:val="20"/>
          <w:szCs w:val="20"/>
        </w:rPr>
        <w:t>labetolol</w:t>
      </w:r>
      <w:proofErr w:type="spellEnd"/>
      <w:r w:rsidR="00D9320F">
        <w:rPr>
          <w:sz w:val="20"/>
          <w:szCs w:val="20"/>
        </w:rPr>
        <w:t xml:space="preserve"> or </w:t>
      </w:r>
      <w:proofErr w:type="spellStart"/>
      <w:r w:rsidR="00D9320F">
        <w:rPr>
          <w:sz w:val="20"/>
          <w:szCs w:val="20"/>
        </w:rPr>
        <w:t>carvedilol</w:t>
      </w:r>
      <w:proofErr w:type="spellEnd"/>
      <w:r w:rsidR="00D9320F">
        <w:rPr>
          <w:sz w:val="20"/>
          <w:szCs w:val="20"/>
        </w:rPr>
        <w:t>, but because these drugs are variably subject to the same</w:t>
      </w:r>
      <w:r w:rsidR="00D9320F" w:rsidRPr="00D9320F">
        <w:rPr>
          <w:sz w:val="20"/>
          <w:szCs w:val="20"/>
        </w:rPr>
        <w:t xml:space="preserve"> </w:t>
      </w:r>
      <w:r w:rsidR="00D9320F" w:rsidRPr="00290D33">
        <w:rPr>
          <w:sz w:val="20"/>
          <w:szCs w:val="20"/>
        </w:rPr>
        <w:t>cP450–mediated first-pass hepatic metabolism</w:t>
      </w:r>
      <w:r w:rsidR="00D9320F">
        <w:rPr>
          <w:sz w:val="20"/>
          <w:szCs w:val="20"/>
        </w:rPr>
        <w:t xml:space="preserve"> as </w:t>
      </w:r>
      <w:proofErr w:type="spellStart"/>
      <w:r w:rsidR="00D9320F">
        <w:rPr>
          <w:sz w:val="20"/>
          <w:szCs w:val="20"/>
        </w:rPr>
        <w:t>atenolol</w:t>
      </w:r>
      <w:proofErr w:type="spellEnd"/>
      <w:r w:rsidR="00D9320F">
        <w:rPr>
          <w:sz w:val="20"/>
          <w:szCs w:val="20"/>
        </w:rPr>
        <w:t xml:space="preserve">, the most reliable way to achieve it is with a combination of </w:t>
      </w:r>
      <w:proofErr w:type="spellStart"/>
      <w:r w:rsidR="00D9320F">
        <w:rPr>
          <w:sz w:val="20"/>
          <w:szCs w:val="20"/>
        </w:rPr>
        <w:t>atenolol</w:t>
      </w:r>
      <w:proofErr w:type="spellEnd"/>
      <w:r w:rsidR="00D9320F">
        <w:rPr>
          <w:sz w:val="20"/>
          <w:szCs w:val="20"/>
        </w:rPr>
        <w:t xml:space="preserve"> and </w:t>
      </w:r>
      <w:proofErr w:type="spellStart"/>
      <w:r w:rsidR="00D9320F">
        <w:rPr>
          <w:sz w:val="20"/>
          <w:szCs w:val="20"/>
        </w:rPr>
        <w:t>doxazosin</w:t>
      </w:r>
      <w:proofErr w:type="spellEnd"/>
      <w:r w:rsidR="00D9320F">
        <w:rPr>
          <w:sz w:val="20"/>
          <w:szCs w:val="20"/>
        </w:rPr>
        <w:t xml:space="preserve">. Neither of these drugs is subject to that metabolic process. The </w:t>
      </w:r>
      <w:proofErr w:type="spellStart"/>
      <w:r w:rsidR="00D9320F">
        <w:rPr>
          <w:sz w:val="20"/>
          <w:szCs w:val="20"/>
        </w:rPr>
        <w:t>atenolol</w:t>
      </w:r>
      <w:proofErr w:type="spellEnd"/>
      <w:r w:rsidR="00D9320F">
        <w:rPr>
          <w:sz w:val="20"/>
          <w:szCs w:val="20"/>
        </w:rPr>
        <w:t xml:space="preserve"> dose should be adjusted to achieve an appropriately reduced resting heart rate, and addition of a small dose of </w:t>
      </w:r>
      <w:proofErr w:type="spellStart"/>
      <w:r w:rsidR="00D9320F">
        <w:rPr>
          <w:sz w:val="20"/>
          <w:szCs w:val="20"/>
        </w:rPr>
        <w:t>doxazosin</w:t>
      </w:r>
      <w:proofErr w:type="spellEnd"/>
      <w:r w:rsidR="00D9320F">
        <w:rPr>
          <w:sz w:val="20"/>
          <w:szCs w:val="20"/>
        </w:rPr>
        <w:t xml:space="preserve"> (1-4mg daily) often has a surprisingly beneficial effect. </w:t>
      </w:r>
    </w:p>
    <w:p w:rsidR="008A0E87" w:rsidRDefault="008A0E87" w:rsidP="00D9320F">
      <w:pPr>
        <w:rPr>
          <w:rFonts w:ascii="Verdana,Italic" w:hAnsi="Verdana,Italic" w:cs="Verdana,Italic"/>
          <w:i/>
          <w:iCs/>
          <w:color w:val="0000FF"/>
          <w:sz w:val="16"/>
          <w:szCs w:val="16"/>
        </w:rPr>
      </w:pPr>
      <w:r w:rsidRPr="008A0E87">
        <w:rPr>
          <w:sz w:val="20"/>
          <w:szCs w:val="20"/>
        </w:rPr>
        <w:t>1</w:t>
      </w:r>
      <w:r w:rsidRPr="008A0E87">
        <w:rPr>
          <w:rFonts w:ascii="Verdana,Italic" w:hAnsi="Verdana,Italic" w:cs="Verdana,Italic"/>
          <w:i/>
          <w:iCs/>
          <w:color w:val="0000FF"/>
          <w:sz w:val="16"/>
          <w:szCs w:val="16"/>
        </w:rPr>
        <w:t xml:space="preserve"> </w:t>
      </w:r>
      <w:hyperlink r:id="rId7" w:history="1">
        <w:r w:rsidRPr="00EB0C2F">
          <w:rPr>
            <w:rStyle w:val="Hyperlink"/>
            <w:rFonts w:ascii="Verdana,Italic" w:hAnsi="Verdana,Italic" w:cs="Verdana,Italic"/>
            <w:i/>
            <w:iCs/>
            <w:sz w:val="16"/>
            <w:szCs w:val="16"/>
          </w:rPr>
          <w:t>www.nice.org.uk/CG018 NICE guideline.2006</w:t>
        </w:r>
      </w:hyperlink>
    </w:p>
    <w:p w:rsidR="008A0E87" w:rsidRDefault="008A0E87" w:rsidP="00D9320F">
      <w:pPr>
        <w:rPr>
          <w:rFonts w:ascii="Verdana,Italic" w:hAnsi="Verdana,Italic" w:cs="Verdana,Italic"/>
          <w:i/>
          <w:iCs/>
          <w:color w:val="0000FF"/>
          <w:sz w:val="16"/>
          <w:szCs w:val="16"/>
        </w:rPr>
      </w:pPr>
      <w:r>
        <w:rPr>
          <w:sz w:val="20"/>
          <w:szCs w:val="20"/>
        </w:rPr>
        <w:t xml:space="preserve">2. Mann SJ. Drug therapy for resistant hypertension: a simplified, mechanistic approach. </w:t>
      </w:r>
      <w:proofErr w:type="gramStart"/>
      <w:r>
        <w:rPr>
          <w:sz w:val="20"/>
          <w:szCs w:val="20"/>
        </w:rPr>
        <w:t>J.Clin.Hypertens.2011(</w:t>
      </w:r>
      <w:proofErr w:type="gramEnd"/>
      <w:r>
        <w:rPr>
          <w:sz w:val="20"/>
          <w:szCs w:val="20"/>
        </w:rPr>
        <w:t>13)</w:t>
      </w:r>
    </w:p>
    <w:p w:rsidR="008A0E87" w:rsidRPr="008A0E87" w:rsidRDefault="008A0E87" w:rsidP="00D9320F">
      <w:pPr>
        <w:rPr>
          <w:sz w:val="20"/>
          <w:szCs w:val="20"/>
        </w:rPr>
      </w:pPr>
    </w:p>
    <w:p w:rsidR="008A0E87" w:rsidRPr="008A0E87" w:rsidRDefault="008A0E87" w:rsidP="00D9320F">
      <w:pPr>
        <w:rPr>
          <w:sz w:val="20"/>
          <w:szCs w:val="20"/>
          <w:u w:val="single"/>
        </w:rPr>
      </w:pPr>
    </w:p>
    <w:sectPr w:rsidR="008A0E87" w:rsidRPr="008A0E87" w:rsidSect="001B6CAF">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6F4" w:rsidRDefault="00A076F4" w:rsidP="00D07622">
      <w:pPr>
        <w:spacing w:after="0" w:line="240" w:lineRule="auto"/>
      </w:pPr>
      <w:r>
        <w:separator/>
      </w:r>
    </w:p>
  </w:endnote>
  <w:endnote w:type="continuationSeparator" w:id="0">
    <w:p w:rsidR="00A076F4" w:rsidRDefault="00A076F4" w:rsidP="00D076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Malgun Gothic">
    <w:panose1 w:val="020B0503020000020004"/>
    <w:charset w:val="00"/>
    <w:family w:val="roman"/>
    <w:notTrueType/>
    <w:pitch w:val="default"/>
    <w:sig w:usb0="00000000" w:usb1="00000000" w:usb2="00000000" w:usb3="00000000" w:csb0="00000000" w:csb1="00000000"/>
  </w:font>
  <w:font w:name="Verdana,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6F4" w:rsidRDefault="00A076F4" w:rsidP="00D07622">
      <w:pPr>
        <w:spacing w:after="0" w:line="240" w:lineRule="auto"/>
      </w:pPr>
      <w:r>
        <w:separator/>
      </w:r>
    </w:p>
  </w:footnote>
  <w:footnote w:type="continuationSeparator" w:id="0">
    <w:p w:rsidR="00A076F4" w:rsidRDefault="00A076F4" w:rsidP="00D076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81E48"/>
    <w:multiLevelType w:val="hybridMultilevel"/>
    <w:tmpl w:val="EB4C5F82"/>
    <w:lvl w:ilvl="0" w:tplc="89924960">
      <w:start w:val="1"/>
      <w:numFmt w:val="bullet"/>
      <w:lvlText w:val="•"/>
      <w:lvlJc w:val="left"/>
      <w:pPr>
        <w:tabs>
          <w:tab w:val="num" w:pos="720"/>
        </w:tabs>
        <w:ind w:left="720" w:hanging="360"/>
      </w:pPr>
      <w:rPr>
        <w:rFonts w:ascii="Arial" w:hAnsi="Arial" w:hint="default"/>
      </w:rPr>
    </w:lvl>
    <w:lvl w:ilvl="1" w:tplc="36941A42" w:tentative="1">
      <w:start w:val="1"/>
      <w:numFmt w:val="bullet"/>
      <w:lvlText w:val="•"/>
      <w:lvlJc w:val="left"/>
      <w:pPr>
        <w:tabs>
          <w:tab w:val="num" w:pos="1440"/>
        </w:tabs>
        <w:ind w:left="1440" w:hanging="360"/>
      </w:pPr>
      <w:rPr>
        <w:rFonts w:ascii="Arial" w:hAnsi="Arial" w:hint="default"/>
      </w:rPr>
    </w:lvl>
    <w:lvl w:ilvl="2" w:tplc="97F62158" w:tentative="1">
      <w:start w:val="1"/>
      <w:numFmt w:val="bullet"/>
      <w:lvlText w:val="•"/>
      <w:lvlJc w:val="left"/>
      <w:pPr>
        <w:tabs>
          <w:tab w:val="num" w:pos="2160"/>
        </w:tabs>
        <w:ind w:left="2160" w:hanging="360"/>
      </w:pPr>
      <w:rPr>
        <w:rFonts w:ascii="Arial" w:hAnsi="Arial" w:hint="default"/>
      </w:rPr>
    </w:lvl>
    <w:lvl w:ilvl="3" w:tplc="74AC799A" w:tentative="1">
      <w:start w:val="1"/>
      <w:numFmt w:val="bullet"/>
      <w:lvlText w:val="•"/>
      <w:lvlJc w:val="left"/>
      <w:pPr>
        <w:tabs>
          <w:tab w:val="num" w:pos="2880"/>
        </w:tabs>
        <w:ind w:left="2880" w:hanging="360"/>
      </w:pPr>
      <w:rPr>
        <w:rFonts w:ascii="Arial" w:hAnsi="Arial" w:hint="default"/>
      </w:rPr>
    </w:lvl>
    <w:lvl w:ilvl="4" w:tplc="74346278" w:tentative="1">
      <w:start w:val="1"/>
      <w:numFmt w:val="bullet"/>
      <w:lvlText w:val="•"/>
      <w:lvlJc w:val="left"/>
      <w:pPr>
        <w:tabs>
          <w:tab w:val="num" w:pos="3600"/>
        </w:tabs>
        <w:ind w:left="3600" w:hanging="360"/>
      </w:pPr>
      <w:rPr>
        <w:rFonts w:ascii="Arial" w:hAnsi="Arial" w:hint="default"/>
      </w:rPr>
    </w:lvl>
    <w:lvl w:ilvl="5" w:tplc="1CD6C4CE" w:tentative="1">
      <w:start w:val="1"/>
      <w:numFmt w:val="bullet"/>
      <w:lvlText w:val="•"/>
      <w:lvlJc w:val="left"/>
      <w:pPr>
        <w:tabs>
          <w:tab w:val="num" w:pos="4320"/>
        </w:tabs>
        <w:ind w:left="4320" w:hanging="360"/>
      </w:pPr>
      <w:rPr>
        <w:rFonts w:ascii="Arial" w:hAnsi="Arial" w:hint="default"/>
      </w:rPr>
    </w:lvl>
    <w:lvl w:ilvl="6" w:tplc="8A767BE8" w:tentative="1">
      <w:start w:val="1"/>
      <w:numFmt w:val="bullet"/>
      <w:lvlText w:val="•"/>
      <w:lvlJc w:val="left"/>
      <w:pPr>
        <w:tabs>
          <w:tab w:val="num" w:pos="5040"/>
        </w:tabs>
        <w:ind w:left="5040" w:hanging="360"/>
      </w:pPr>
      <w:rPr>
        <w:rFonts w:ascii="Arial" w:hAnsi="Arial" w:hint="default"/>
      </w:rPr>
    </w:lvl>
    <w:lvl w:ilvl="7" w:tplc="FAA8B870" w:tentative="1">
      <w:start w:val="1"/>
      <w:numFmt w:val="bullet"/>
      <w:lvlText w:val="•"/>
      <w:lvlJc w:val="left"/>
      <w:pPr>
        <w:tabs>
          <w:tab w:val="num" w:pos="5760"/>
        </w:tabs>
        <w:ind w:left="5760" w:hanging="360"/>
      </w:pPr>
      <w:rPr>
        <w:rFonts w:ascii="Arial" w:hAnsi="Arial" w:hint="default"/>
      </w:rPr>
    </w:lvl>
    <w:lvl w:ilvl="8" w:tplc="1A48A55E" w:tentative="1">
      <w:start w:val="1"/>
      <w:numFmt w:val="bullet"/>
      <w:lvlText w:val="•"/>
      <w:lvlJc w:val="left"/>
      <w:pPr>
        <w:tabs>
          <w:tab w:val="num" w:pos="6480"/>
        </w:tabs>
        <w:ind w:left="6480" w:hanging="360"/>
      </w:pPr>
      <w:rPr>
        <w:rFonts w:ascii="Arial" w:hAnsi="Arial" w:hint="default"/>
      </w:rPr>
    </w:lvl>
  </w:abstractNum>
  <w:abstractNum w:abstractNumId="1">
    <w:nsid w:val="2ACB609D"/>
    <w:multiLevelType w:val="hybridMultilevel"/>
    <w:tmpl w:val="E01051B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39663574"/>
    <w:multiLevelType w:val="hybridMultilevel"/>
    <w:tmpl w:val="1E7A7EC2"/>
    <w:lvl w:ilvl="0" w:tplc="718EECCE">
      <w:start w:val="1"/>
      <w:numFmt w:val="decimal"/>
      <w:lvlText w:val="%1."/>
      <w:lvlJc w:val="left"/>
      <w:pPr>
        <w:ind w:left="1080" w:hanging="360"/>
      </w:pPr>
      <w:rPr>
        <w:rFonts w:hint="default"/>
        <w:color w:val="auto"/>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
    <w:nsid w:val="54545071"/>
    <w:multiLevelType w:val="hybridMultilevel"/>
    <w:tmpl w:val="988A698E"/>
    <w:lvl w:ilvl="0" w:tplc="F2822C70">
      <w:start w:val="1"/>
      <w:numFmt w:val="bullet"/>
      <w:lvlText w:val="•"/>
      <w:lvlJc w:val="left"/>
      <w:pPr>
        <w:tabs>
          <w:tab w:val="num" w:pos="720"/>
        </w:tabs>
        <w:ind w:left="720" w:hanging="360"/>
      </w:pPr>
      <w:rPr>
        <w:rFonts w:ascii="Arial" w:hAnsi="Arial" w:hint="default"/>
      </w:rPr>
    </w:lvl>
    <w:lvl w:ilvl="1" w:tplc="32BE102A" w:tentative="1">
      <w:start w:val="1"/>
      <w:numFmt w:val="bullet"/>
      <w:lvlText w:val="•"/>
      <w:lvlJc w:val="left"/>
      <w:pPr>
        <w:tabs>
          <w:tab w:val="num" w:pos="1440"/>
        </w:tabs>
        <w:ind w:left="1440" w:hanging="360"/>
      </w:pPr>
      <w:rPr>
        <w:rFonts w:ascii="Arial" w:hAnsi="Arial" w:hint="default"/>
      </w:rPr>
    </w:lvl>
    <w:lvl w:ilvl="2" w:tplc="68167752" w:tentative="1">
      <w:start w:val="1"/>
      <w:numFmt w:val="bullet"/>
      <w:lvlText w:val="•"/>
      <w:lvlJc w:val="left"/>
      <w:pPr>
        <w:tabs>
          <w:tab w:val="num" w:pos="2160"/>
        </w:tabs>
        <w:ind w:left="2160" w:hanging="360"/>
      </w:pPr>
      <w:rPr>
        <w:rFonts w:ascii="Arial" w:hAnsi="Arial" w:hint="default"/>
      </w:rPr>
    </w:lvl>
    <w:lvl w:ilvl="3" w:tplc="01DC9308" w:tentative="1">
      <w:start w:val="1"/>
      <w:numFmt w:val="bullet"/>
      <w:lvlText w:val="•"/>
      <w:lvlJc w:val="left"/>
      <w:pPr>
        <w:tabs>
          <w:tab w:val="num" w:pos="2880"/>
        </w:tabs>
        <w:ind w:left="2880" w:hanging="360"/>
      </w:pPr>
      <w:rPr>
        <w:rFonts w:ascii="Arial" w:hAnsi="Arial" w:hint="default"/>
      </w:rPr>
    </w:lvl>
    <w:lvl w:ilvl="4" w:tplc="4268EDB4" w:tentative="1">
      <w:start w:val="1"/>
      <w:numFmt w:val="bullet"/>
      <w:lvlText w:val="•"/>
      <w:lvlJc w:val="left"/>
      <w:pPr>
        <w:tabs>
          <w:tab w:val="num" w:pos="3600"/>
        </w:tabs>
        <w:ind w:left="3600" w:hanging="360"/>
      </w:pPr>
      <w:rPr>
        <w:rFonts w:ascii="Arial" w:hAnsi="Arial" w:hint="default"/>
      </w:rPr>
    </w:lvl>
    <w:lvl w:ilvl="5" w:tplc="CFB0363C" w:tentative="1">
      <w:start w:val="1"/>
      <w:numFmt w:val="bullet"/>
      <w:lvlText w:val="•"/>
      <w:lvlJc w:val="left"/>
      <w:pPr>
        <w:tabs>
          <w:tab w:val="num" w:pos="4320"/>
        </w:tabs>
        <w:ind w:left="4320" w:hanging="360"/>
      </w:pPr>
      <w:rPr>
        <w:rFonts w:ascii="Arial" w:hAnsi="Arial" w:hint="default"/>
      </w:rPr>
    </w:lvl>
    <w:lvl w:ilvl="6" w:tplc="0642574C" w:tentative="1">
      <w:start w:val="1"/>
      <w:numFmt w:val="bullet"/>
      <w:lvlText w:val="•"/>
      <w:lvlJc w:val="left"/>
      <w:pPr>
        <w:tabs>
          <w:tab w:val="num" w:pos="5040"/>
        </w:tabs>
        <w:ind w:left="5040" w:hanging="360"/>
      </w:pPr>
      <w:rPr>
        <w:rFonts w:ascii="Arial" w:hAnsi="Arial" w:hint="default"/>
      </w:rPr>
    </w:lvl>
    <w:lvl w:ilvl="7" w:tplc="96827636" w:tentative="1">
      <w:start w:val="1"/>
      <w:numFmt w:val="bullet"/>
      <w:lvlText w:val="•"/>
      <w:lvlJc w:val="left"/>
      <w:pPr>
        <w:tabs>
          <w:tab w:val="num" w:pos="5760"/>
        </w:tabs>
        <w:ind w:left="5760" w:hanging="360"/>
      </w:pPr>
      <w:rPr>
        <w:rFonts w:ascii="Arial" w:hAnsi="Arial" w:hint="default"/>
      </w:rPr>
    </w:lvl>
    <w:lvl w:ilvl="8" w:tplc="5010F5EA" w:tentative="1">
      <w:start w:val="1"/>
      <w:numFmt w:val="bullet"/>
      <w:lvlText w:val="•"/>
      <w:lvlJc w:val="left"/>
      <w:pPr>
        <w:tabs>
          <w:tab w:val="num" w:pos="6480"/>
        </w:tabs>
        <w:ind w:left="6480" w:hanging="360"/>
      </w:pPr>
      <w:rPr>
        <w:rFonts w:ascii="Arial" w:hAnsi="Arial" w:hint="default"/>
      </w:rPr>
    </w:lvl>
  </w:abstractNum>
  <w:abstractNum w:abstractNumId="4">
    <w:nsid w:val="5DE13BF7"/>
    <w:multiLevelType w:val="multilevel"/>
    <w:tmpl w:val="62944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2825B6F"/>
    <w:multiLevelType w:val="hybridMultilevel"/>
    <w:tmpl w:val="2BA84E44"/>
    <w:lvl w:ilvl="0" w:tplc="07FCD140">
      <w:start w:val="1"/>
      <w:numFmt w:val="decimal"/>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6">
    <w:nsid w:val="75F7547A"/>
    <w:multiLevelType w:val="hybridMultilevel"/>
    <w:tmpl w:val="3DB47150"/>
    <w:lvl w:ilvl="0" w:tplc="C7F0E84C">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2"/>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hdrShapeDefaults>
    <o:shapedefaults v:ext="edit" spidmax="50178"/>
  </w:hdrShapeDefaults>
  <w:footnotePr>
    <w:footnote w:id="-1"/>
    <w:footnote w:id="0"/>
  </w:footnotePr>
  <w:endnotePr>
    <w:endnote w:id="-1"/>
    <w:endnote w:id="0"/>
  </w:endnotePr>
  <w:compat>
    <w:useFELayout/>
  </w:compat>
  <w:rsids>
    <w:rsidRoot w:val="009C40DB"/>
    <w:rsid w:val="000004B0"/>
    <w:rsid w:val="00000F14"/>
    <w:rsid w:val="00002791"/>
    <w:rsid w:val="00013ADF"/>
    <w:rsid w:val="00040B8D"/>
    <w:rsid w:val="0009335D"/>
    <w:rsid w:val="000A5D72"/>
    <w:rsid w:val="000C638F"/>
    <w:rsid w:val="000C76C9"/>
    <w:rsid w:val="000E0D15"/>
    <w:rsid w:val="001B6CAF"/>
    <w:rsid w:val="001C1F3A"/>
    <w:rsid w:val="001C5164"/>
    <w:rsid w:val="001E5909"/>
    <w:rsid w:val="00227212"/>
    <w:rsid w:val="00247958"/>
    <w:rsid w:val="00290D33"/>
    <w:rsid w:val="002A5E0D"/>
    <w:rsid w:val="002F7FE3"/>
    <w:rsid w:val="00310CA6"/>
    <w:rsid w:val="00346E9A"/>
    <w:rsid w:val="00384718"/>
    <w:rsid w:val="003F0470"/>
    <w:rsid w:val="004001D3"/>
    <w:rsid w:val="00425587"/>
    <w:rsid w:val="004427BD"/>
    <w:rsid w:val="0044790F"/>
    <w:rsid w:val="00455883"/>
    <w:rsid w:val="0046467C"/>
    <w:rsid w:val="004A4F29"/>
    <w:rsid w:val="004D0FCE"/>
    <w:rsid w:val="005202E0"/>
    <w:rsid w:val="0052742E"/>
    <w:rsid w:val="00551B11"/>
    <w:rsid w:val="00571E20"/>
    <w:rsid w:val="005E0E20"/>
    <w:rsid w:val="006000C0"/>
    <w:rsid w:val="00603292"/>
    <w:rsid w:val="006120DC"/>
    <w:rsid w:val="006D742E"/>
    <w:rsid w:val="00731D49"/>
    <w:rsid w:val="00733E53"/>
    <w:rsid w:val="00767DD0"/>
    <w:rsid w:val="008518EC"/>
    <w:rsid w:val="00884EE9"/>
    <w:rsid w:val="00896041"/>
    <w:rsid w:val="008A0E87"/>
    <w:rsid w:val="008D1CAE"/>
    <w:rsid w:val="0091173C"/>
    <w:rsid w:val="009A1E7D"/>
    <w:rsid w:val="009B7724"/>
    <w:rsid w:val="009C40DB"/>
    <w:rsid w:val="00A02E2C"/>
    <w:rsid w:val="00A076F4"/>
    <w:rsid w:val="00A54A56"/>
    <w:rsid w:val="00A55B38"/>
    <w:rsid w:val="00A5748A"/>
    <w:rsid w:val="00A57D4E"/>
    <w:rsid w:val="00A677FD"/>
    <w:rsid w:val="00A9470C"/>
    <w:rsid w:val="00AB5D4C"/>
    <w:rsid w:val="00AF1484"/>
    <w:rsid w:val="00AF591E"/>
    <w:rsid w:val="00B53FCC"/>
    <w:rsid w:val="00BA39D9"/>
    <w:rsid w:val="00C30E9D"/>
    <w:rsid w:val="00C41190"/>
    <w:rsid w:val="00C4288A"/>
    <w:rsid w:val="00C46848"/>
    <w:rsid w:val="00C54C3E"/>
    <w:rsid w:val="00C74200"/>
    <w:rsid w:val="00C771AE"/>
    <w:rsid w:val="00C86F9D"/>
    <w:rsid w:val="00CB43C0"/>
    <w:rsid w:val="00CF160B"/>
    <w:rsid w:val="00CF6631"/>
    <w:rsid w:val="00D07622"/>
    <w:rsid w:val="00D3297D"/>
    <w:rsid w:val="00D45C48"/>
    <w:rsid w:val="00D51DD7"/>
    <w:rsid w:val="00D9320F"/>
    <w:rsid w:val="00DA5973"/>
    <w:rsid w:val="00DC767E"/>
    <w:rsid w:val="00DD1F23"/>
    <w:rsid w:val="00E32FC5"/>
    <w:rsid w:val="00E36531"/>
    <w:rsid w:val="00E70FC8"/>
    <w:rsid w:val="00E7100F"/>
    <w:rsid w:val="00EE1506"/>
    <w:rsid w:val="00EE3D51"/>
    <w:rsid w:val="00EF3CD8"/>
    <w:rsid w:val="00F10CA2"/>
    <w:rsid w:val="00F11C8E"/>
    <w:rsid w:val="00F20EC0"/>
    <w:rsid w:val="00F27321"/>
    <w:rsid w:val="00F318D9"/>
    <w:rsid w:val="00F37AC8"/>
    <w:rsid w:val="00F45E83"/>
    <w:rsid w:val="00F64675"/>
    <w:rsid w:val="00F90FC2"/>
    <w:rsid w:val="00F969C4"/>
  </w:rsids>
  <m:mathPr>
    <m:mathFont m:val="Cambria Math"/>
    <m:brkBin m:val="before"/>
    <m:brkBinSub m:val="--"/>
    <m:smallFrac m:val="off"/>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NZ"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AF"/>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40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C40DB"/>
    <w:rPr>
      <w:b/>
      <w:bCs/>
    </w:rPr>
  </w:style>
  <w:style w:type="character" w:styleId="Emphasis">
    <w:name w:val="Emphasis"/>
    <w:basedOn w:val="DefaultParagraphFont"/>
    <w:uiPriority w:val="20"/>
    <w:qFormat/>
    <w:rsid w:val="009C40DB"/>
    <w:rPr>
      <w:i/>
      <w:iCs/>
    </w:rPr>
  </w:style>
  <w:style w:type="paragraph" w:styleId="Header">
    <w:name w:val="header"/>
    <w:basedOn w:val="Normal"/>
    <w:link w:val="HeaderChar"/>
    <w:uiPriority w:val="99"/>
    <w:semiHidden/>
    <w:unhideWhenUsed/>
    <w:rsid w:val="00D076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07622"/>
  </w:style>
  <w:style w:type="paragraph" w:styleId="Footer">
    <w:name w:val="footer"/>
    <w:basedOn w:val="Normal"/>
    <w:link w:val="FooterChar"/>
    <w:uiPriority w:val="99"/>
    <w:semiHidden/>
    <w:unhideWhenUsed/>
    <w:rsid w:val="00D076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07622"/>
  </w:style>
  <w:style w:type="character" w:styleId="Hyperlink">
    <w:name w:val="Hyperlink"/>
    <w:basedOn w:val="DefaultParagraphFont"/>
    <w:uiPriority w:val="99"/>
    <w:unhideWhenUsed/>
    <w:rsid w:val="00F64675"/>
    <w:rPr>
      <w:color w:val="0000FF"/>
      <w:u w:val="single"/>
    </w:rPr>
  </w:style>
  <w:style w:type="paragraph" w:customStyle="1" w:styleId="tocitem">
    <w:name w:val="tocitem"/>
    <w:basedOn w:val="Normal"/>
    <w:uiPriority w:val="99"/>
    <w:rsid w:val="001C5164"/>
    <w:pPr>
      <w:spacing w:before="144" w:after="0" w:line="240" w:lineRule="auto"/>
      <w:ind w:left="480"/>
    </w:pPr>
    <w:rPr>
      <w:rFonts w:ascii="Times New Roman" w:eastAsia="Malgun Gothic" w:hAnsi="Times New Roman" w:cs="Times New Roman"/>
      <w:sz w:val="24"/>
      <w:szCs w:val="24"/>
    </w:rPr>
  </w:style>
  <w:style w:type="character" w:customStyle="1" w:styleId="src1">
    <w:name w:val="src1"/>
    <w:basedOn w:val="DefaultParagraphFont"/>
    <w:rsid w:val="001C5164"/>
    <w:rPr>
      <w:vanish w:val="0"/>
      <w:webHidden w:val="0"/>
      <w:specVanish w:val="0"/>
    </w:rPr>
  </w:style>
  <w:style w:type="character" w:customStyle="1" w:styleId="jrnl">
    <w:name w:val="jrnl"/>
    <w:basedOn w:val="DefaultParagraphFont"/>
    <w:rsid w:val="001C5164"/>
  </w:style>
  <w:style w:type="paragraph" w:styleId="ListParagraph">
    <w:name w:val="List Paragraph"/>
    <w:basedOn w:val="Normal"/>
    <w:uiPriority w:val="34"/>
    <w:qFormat/>
    <w:rsid w:val="004D0FCE"/>
    <w:pPr>
      <w:ind w:left="720"/>
      <w:contextualSpacing/>
    </w:pPr>
  </w:style>
</w:styles>
</file>

<file path=word/webSettings.xml><?xml version="1.0" encoding="utf-8"?>
<w:webSettings xmlns:r="http://schemas.openxmlformats.org/officeDocument/2006/relationships" xmlns:w="http://schemas.openxmlformats.org/wordprocessingml/2006/main">
  <w:divs>
    <w:div w:id="444738138">
      <w:bodyDiv w:val="1"/>
      <w:marLeft w:val="0"/>
      <w:marRight w:val="0"/>
      <w:marTop w:val="0"/>
      <w:marBottom w:val="0"/>
      <w:divBdr>
        <w:top w:val="none" w:sz="0" w:space="0" w:color="auto"/>
        <w:left w:val="none" w:sz="0" w:space="0" w:color="auto"/>
        <w:bottom w:val="none" w:sz="0" w:space="0" w:color="auto"/>
        <w:right w:val="none" w:sz="0" w:space="0" w:color="auto"/>
      </w:divBdr>
    </w:div>
    <w:div w:id="1214929695">
      <w:bodyDiv w:val="1"/>
      <w:marLeft w:val="0"/>
      <w:marRight w:val="0"/>
      <w:marTop w:val="0"/>
      <w:marBottom w:val="0"/>
      <w:divBdr>
        <w:top w:val="none" w:sz="0" w:space="0" w:color="auto"/>
        <w:left w:val="none" w:sz="0" w:space="0" w:color="auto"/>
        <w:bottom w:val="none" w:sz="0" w:space="0" w:color="auto"/>
        <w:right w:val="none" w:sz="0" w:space="0" w:color="auto"/>
      </w:divBdr>
    </w:div>
    <w:div w:id="1703821264">
      <w:bodyDiv w:val="1"/>
      <w:marLeft w:val="0"/>
      <w:marRight w:val="0"/>
      <w:marTop w:val="0"/>
      <w:marBottom w:val="0"/>
      <w:divBdr>
        <w:top w:val="none" w:sz="0" w:space="0" w:color="auto"/>
        <w:left w:val="none" w:sz="0" w:space="0" w:color="auto"/>
        <w:bottom w:val="none" w:sz="0" w:space="0" w:color="auto"/>
        <w:right w:val="none" w:sz="0" w:space="0" w:color="auto"/>
      </w:divBdr>
    </w:div>
    <w:div w:id="1806896094">
      <w:bodyDiv w:val="1"/>
      <w:marLeft w:val="0"/>
      <w:marRight w:val="0"/>
      <w:marTop w:val="0"/>
      <w:marBottom w:val="0"/>
      <w:divBdr>
        <w:top w:val="none" w:sz="0" w:space="0" w:color="auto"/>
        <w:left w:val="none" w:sz="0" w:space="0" w:color="auto"/>
        <w:bottom w:val="none" w:sz="0" w:space="0" w:color="auto"/>
        <w:right w:val="none" w:sz="0" w:space="0" w:color="auto"/>
      </w:divBdr>
    </w:div>
    <w:div w:id="2049143088">
      <w:bodyDiv w:val="1"/>
      <w:marLeft w:val="0"/>
      <w:marRight w:val="0"/>
      <w:marTop w:val="0"/>
      <w:marBottom w:val="0"/>
      <w:divBdr>
        <w:top w:val="none" w:sz="0" w:space="0" w:color="auto"/>
        <w:left w:val="none" w:sz="0" w:space="0" w:color="auto"/>
        <w:bottom w:val="none" w:sz="0" w:space="0" w:color="auto"/>
        <w:right w:val="none" w:sz="0" w:space="0" w:color="auto"/>
      </w:divBdr>
      <w:divsChild>
        <w:div w:id="195778833">
          <w:marLeft w:val="0"/>
          <w:marRight w:val="0"/>
          <w:marTop w:val="0"/>
          <w:marBottom w:val="0"/>
          <w:divBdr>
            <w:top w:val="none" w:sz="0" w:space="0" w:color="auto"/>
            <w:left w:val="none" w:sz="0" w:space="0" w:color="auto"/>
            <w:bottom w:val="none" w:sz="0" w:space="0" w:color="auto"/>
            <w:right w:val="none" w:sz="0" w:space="0" w:color="auto"/>
          </w:divBdr>
          <w:divsChild>
            <w:div w:id="161147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ice.org.uk/CG018%20NICE%20guideline.2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waltervdm</dc:creator>
  <cp:lastModifiedBy>waltervdm</cp:lastModifiedBy>
  <cp:revision>8</cp:revision>
  <dcterms:created xsi:type="dcterms:W3CDTF">2011-12-31T23:23:00Z</dcterms:created>
  <dcterms:modified xsi:type="dcterms:W3CDTF">2012-01-01T02:32:00Z</dcterms:modified>
</cp:coreProperties>
</file>